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1D3B787" w:rsidR="00A160B2" w:rsidRDefault="00CC2663" w:rsidP="00A160B2">
      <w:pPr>
        <w:spacing w:after="480"/>
      </w:pPr>
      <w:r>
        <w:rPr>
          <w:noProof/>
        </w:rPr>
        <w:drawing>
          <wp:inline distT="0" distB="0" distL="0" distR="0" wp14:anchorId="72347AAD" wp14:editId="6253275F">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tbl>
      <w:tblPr>
        <w:tblStyle w:val="Style1"/>
        <w:tblW w:w="0" w:type="auto"/>
        <w:tblLook w:val="0000" w:firstRow="0" w:lastRow="0" w:firstColumn="0" w:lastColumn="0" w:noHBand="0" w:noVBand="0"/>
      </w:tblPr>
      <w:tblGrid>
        <w:gridCol w:w="3388"/>
        <w:gridCol w:w="4921"/>
      </w:tblGrid>
      <w:tr w:rsidR="00A160B2" w14:paraId="3E9231EB" w14:textId="77777777" w:rsidTr="00CC2663">
        <w:trPr>
          <w:tblHeader/>
        </w:trPr>
        <w:tc>
          <w:tcPr>
            <w:tcW w:w="3388" w:type="dxa"/>
            <w:tcBorders>
              <w:top w:val="single" w:sz="18" w:space="0" w:color="auto"/>
              <w:bottom w:val="single" w:sz="18" w:space="0" w:color="auto"/>
            </w:tcBorders>
          </w:tcPr>
          <w:p w14:paraId="2EDC0AA9" w14:textId="309DFE1C" w:rsidR="00A160B2" w:rsidRPr="00B805DB" w:rsidRDefault="00CC2663" w:rsidP="00603EC9">
            <w:pPr>
              <w:pStyle w:val="Heading1"/>
              <w:spacing w:after="240"/>
            </w:pPr>
            <w:r>
              <w:t>REPORT F</w:t>
            </w:r>
            <w:r w:rsidRPr="00C869F3">
              <w:t>OR:</w:t>
            </w:r>
          </w:p>
        </w:tc>
        <w:tc>
          <w:tcPr>
            <w:tcW w:w="4921" w:type="dxa"/>
            <w:tcBorders>
              <w:top w:val="single" w:sz="18" w:space="0" w:color="auto"/>
              <w:bottom w:val="single" w:sz="18" w:space="0" w:color="auto"/>
            </w:tcBorders>
          </w:tcPr>
          <w:p w14:paraId="6E67C462" w14:textId="3DF5E58B" w:rsidR="00A160B2" w:rsidRDefault="00784A42" w:rsidP="00784A42">
            <w:pPr>
              <w:pStyle w:val="Heading1"/>
            </w:pPr>
            <w:r>
              <w:t xml:space="preserve">Pension </w:t>
            </w:r>
            <w:r w:rsidR="0027351E">
              <w:t>Board</w:t>
            </w:r>
          </w:p>
          <w:p w14:paraId="55A88F66" w14:textId="45EE9F72" w:rsidR="00784A42" w:rsidRPr="00784A42" w:rsidRDefault="00784A42" w:rsidP="00784A42"/>
        </w:tc>
      </w:tr>
      <w:tr w:rsidR="00A160B2" w14:paraId="5281F5A9" w14:textId="77777777" w:rsidTr="00CC2663">
        <w:tc>
          <w:tcPr>
            <w:tcW w:w="3388" w:type="dxa"/>
            <w:tcBorders>
              <w:top w:val="single" w:sz="18" w:space="0" w:color="auto"/>
            </w:tcBorders>
          </w:tcPr>
          <w:p w14:paraId="1C16A2F0" w14:textId="77777777" w:rsidR="00CC2663" w:rsidRDefault="00CC2663" w:rsidP="00603EC9">
            <w:pPr>
              <w:pStyle w:val="Infotext"/>
              <w:rPr>
                <w:rFonts w:ascii="Arial Black" w:hAnsi="Arial Black"/>
              </w:rPr>
            </w:pPr>
          </w:p>
          <w:p w14:paraId="0991D380" w14:textId="18980C25" w:rsidR="00A160B2" w:rsidRPr="00F92398" w:rsidRDefault="00A160B2" w:rsidP="00603EC9">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03EC9">
            <w:pPr>
              <w:pStyle w:val="Infotext"/>
              <w:rPr>
                <w:rFonts w:ascii="Arial Black" w:hAnsi="Arial Black" w:cs="Arial"/>
              </w:rPr>
            </w:pPr>
          </w:p>
        </w:tc>
        <w:tc>
          <w:tcPr>
            <w:tcW w:w="4921" w:type="dxa"/>
            <w:tcBorders>
              <w:top w:val="single" w:sz="18" w:space="0" w:color="auto"/>
            </w:tcBorders>
          </w:tcPr>
          <w:p w14:paraId="28B3E655" w14:textId="77777777" w:rsidR="00CC2663" w:rsidRPr="00CC2663" w:rsidRDefault="00CC2663" w:rsidP="00603EC9">
            <w:pPr>
              <w:pStyle w:val="Infotext"/>
              <w:rPr>
                <w:rFonts w:cs="Arial"/>
                <w:sz w:val="30"/>
                <w:szCs w:val="30"/>
              </w:rPr>
            </w:pPr>
          </w:p>
          <w:p w14:paraId="495EBCE8" w14:textId="7F76EA38" w:rsidR="00A160B2" w:rsidRPr="00CC2663" w:rsidRDefault="0027351E" w:rsidP="00603EC9">
            <w:pPr>
              <w:pStyle w:val="Infotext"/>
              <w:rPr>
                <w:rFonts w:cs="Arial"/>
                <w:szCs w:val="28"/>
              </w:rPr>
            </w:pPr>
            <w:r>
              <w:rPr>
                <w:rFonts w:cs="Arial"/>
                <w:szCs w:val="28"/>
              </w:rPr>
              <w:t>30</w:t>
            </w:r>
            <w:r w:rsidR="001C5A26" w:rsidRPr="00CC2663">
              <w:rPr>
                <w:rFonts w:cs="Arial"/>
                <w:szCs w:val="28"/>
              </w:rPr>
              <w:t xml:space="preserve"> </w:t>
            </w:r>
            <w:r>
              <w:rPr>
                <w:rFonts w:cs="Arial"/>
                <w:szCs w:val="28"/>
              </w:rPr>
              <w:t>October</w:t>
            </w:r>
            <w:r w:rsidR="00351F6B" w:rsidRPr="00CC2663">
              <w:rPr>
                <w:rFonts w:cs="Arial"/>
                <w:szCs w:val="28"/>
              </w:rPr>
              <w:t xml:space="preserve"> 2023</w:t>
            </w:r>
          </w:p>
        </w:tc>
      </w:tr>
      <w:tr w:rsidR="00A160B2" w14:paraId="79B879D4" w14:textId="77777777" w:rsidTr="007855AE">
        <w:tc>
          <w:tcPr>
            <w:tcW w:w="3388" w:type="dxa"/>
          </w:tcPr>
          <w:p w14:paraId="5EBA2504" w14:textId="77777777" w:rsidR="00A160B2" w:rsidRPr="00F92398" w:rsidRDefault="00A160B2" w:rsidP="00603EC9">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03EC9">
            <w:pPr>
              <w:pStyle w:val="Infotext"/>
              <w:rPr>
                <w:rFonts w:ascii="Arial Black" w:hAnsi="Arial Black"/>
              </w:rPr>
            </w:pPr>
          </w:p>
        </w:tc>
        <w:tc>
          <w:tcPr>
            <w:tcW w:w="4921" w:type="dxa"/>
          </w:tcPr>
          <w:p w14:paraId="6C11EDC4" w14:textId="13719F86" w:rsidR="00A160B2" w:rsidRDefault="006827BE" w:rsidP="00603EC9">
            <w:pPr>
              <w:pStyle w:val="Infotext"/>
              <w:rPr>
                <w:rFonts w:cs="Arial"/>
              </w:rPr>
            </w:pPr>
            <w:r>
              <w:rPr>
                <w:rFonts w:cs="Arial"/>
              </w:rPr>
              <w:t>Pension</w:t>
            </w:r>
            <w:r w:rsidR="0027351E">
              <w:rPr>
                <w:rFonts w:cs="Arial"/>
              </w:rPr>
              <w:t>s</w:t>
            </w:r>
            <w:r>
              <w:rPr>
                <w:rFonts w:cs="Arial"/>
              </w:rPr>
              <w:t xml:space="preserve"> Administration Update </w:t>
            </w:r>
            <w:r w:rsidR="004D6E36">
              <w:rPr>
                <w:rFonts w:cs="Arial"/>
              </w:rPr>
              <w:t>with</w:t>
            </w:r>
            <w:r>
              <w:rPr>
                <w:rFonts w:cs="Arial"/>
              </w:rPr>
              <w:t xml:space="preserve"> Key Performances </w:t>
            </w:r>
          </w:p>
          <w:p w14:paraId="5914456E" w14:textId="6A6CD41B" w:rsidR="006827BE" w:rsidRDefault="006827BE" w:rsidP="00603EC9">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03EC9">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03EC9">
            <w:pPr>
              <w:pStyle w:val="Infotext"/>
              <w:rPr>
                <w:rFonts w:ascii="Arial Black" w:hAnsi="Arial Black" w:cs="Arial"/>
              </w:rPr>
            </w:pPr>
          </w:p>
        </w:tc>
        <w:tc>
          <w:tcPr>
            <w:tcW w:w="4921" w:type="dxa"/>
          </w:tcPr>
          <w:p w14:paraId="73A80AD8" w14:textId="77777777" w:rsidR="00A160B2" w:rsidRDefault="00837FA7" w:rsidP="00603EC9">
            <w:pPr>
              <w:pStyle w:val="Infotext"/>
              <w:rPr>
                <w:rFonts w:cs="Arial"/>
              </w:rPr>
            </w:pPr>
            <w:r>
              <w:rPr>
                <w:rFonts w:cs="Arial"/>
              </w:rPr>
              <w:t>Sharon Daniels</w:t>
            </w:r>
            <w:r w:rsidR="001C7629">
              <w:rPr>
                <w:rFonts w:cs="Arial"/>
              </w:rPr>
              <w:t xml:space="preserve"> – </w:t>
            </w:r>
            <w:r w:rsidR="00231DB8">
              <w:rPr>
                <w:rFonts w:cs="Arial"/>
              </w:rPr>
              <w:t>Interim</w:t>
            </w:r>
            <w:r>
              <w:rPr>
                <w:rFonts w:cs="Arial"/>
              </w:rPr>
              <w:t xml:space="preserve"> </w:t>
            </w:r>
            <w:r w:rsidR="001C7629">
              <w:rPr>
                <w:rFonts w:cs="Arial"/>
              </w:rPr>
              <w:t xml:space="preserve">Director of Finance and Assurance </w:t>
            </w:r>
          </w:p>
          <w:p w14:paraId="3CF266C9" w14:textId="06E754AC" w:rsidR="00807A4C" w:rsidRDefault="00807A4C" w:rsidP="00603EC9">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03EC9">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03EC9">
            <w:pPr>
              <w:pStyle w:val="Infotext"/>
              <w:rPr>
                <w:rFonts w:ascii="Arial Black" w:hAnsi="Arial Black" w:cs="Arial"/>
              </w:rPr>
            </w:pPr>
          </w:p>
        </w:tc>
        <w:tc>
          <w:tcPr>
            <w:tcW w:w="4921" w:type="dxa"/>
          </w:tcPr>
          <w:p w14:paraId="4C873B59" w14:textId="126360C7" w:rsidR="00A160B2" w:rsidRDefault="00594A34" w:rsidP="006827BE">
            <w:pPr>
              <w:jc w:val="both"/>
              <w:rPr>
                <w:rFonts w:cs="Arial"/>
              </w:rPr>
            </w:pPr>
            <w:r>
              <w:rPr>
                <w:rFonts w:cs="Arial"/>
                <w:sz w:val="28"/>
                <w:szCs w:val="28"/>
              </w:rPr>
              <w:t xml:space="preserve">No </w:t>
            </w:r>
          </w:p>
        </w:tc>
      </w:tr>
      <w:tr w:rsidR="00A160B2" w14:paraId="521D9222" w14:textId="77777777" w:rsidTr="007855AE">
        <w:tc>
          <w:tcPr>
            <w:tcW w:w="3388" w:type="dxa"/>
          </w:tcPr>
          <w:p w14:paraId="4ABD9246" w14:textId="77777777" w:rsidR="00A160B2" w:rsidRDefault="00A160B2" w:rsidP="00603EC9">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03EC9">
            <w:pPr>
              <w:pStyle w:val="Infotext"/>
              <w:rPr>
                <w:rFonts w:ascii="Arial Black" w:hAnsi="Arial Black" w:cs="Arial"/>
              </w:rPr>
            </w:pPr>
          </w:p>
        </w:tc>
        <w:tc>
          <w:tcPr>
            <w:tcW w:w="4921" w:type="dxa"/>
          </w:tcPr>
          <w:p w14:paraId="6CD568AC" w14:textId="425D312D" w:rsidR="00A160B2" w:rsidRPr="00807A4C" w:rsidRDefault="00017448" w:rsidP="00603EC9">
            <w:pPr>
              <w:pStyle w:val="Infotext"/>
              <w:rPr>
                <w:bCs/>
              </w:rPr>
            </w:pPr>
            <w:r w:rsidRPr="00807A4C">
              <w:rPr>
                <w:bCs/>
              </w:rPr>
              <w:t>None</w:t>
            </w:r>
          </w:p>
        </w:tc>
      </w:tr>
      <w:tr w:rsidR="00A160B2" w14:paraId="7C35C184" w14:textId="77777777" w:rsidTr="005D43D1">
        <w:trPr>
          <w:trHeight w:val="4209"/>
        </w:trPr>
        <w:tc>
          <w:tcPr>
            <w:tcW w:w="3388" w:type="dxa"/>
          </w:tcPr>
          <w:p w14:paraId="537C01BC" w14:textId="77777777" w:rsidR="00A160B2" w:rsidRPr="00F92398" w:rsidRDefault="00A160B2" w:rsidP="00603EC9">
            <w:pPr>
              <w:pStyle w:val="Infotext"/>
              <w:rPr>
                <w:rFonts w:ascii="Arial Black" w:hAnsi="Arial Black" w:cs="Arial"/>
              </w:rPr>
            </w:pPr>
          </w:p>
          <w:p w14:paraId="575B6BE7" w14:textId="77777777" w:rsidR="00A160B2" w:rsidRPr="00F92398" w:rsidRDefault="00A160B2" w:rsidP="00603EC9">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03EC9">
            <w:pPr>
              <w:pStyle w:val="Infotext"/>
              <w:rPr>
                <w:rFonts w:ascii="Arial Black" w:hAnsi="Arial Black" w:cs="Arial"/>
              </w:rPr>
            </w:pPr>
          </w:p>
        </w:tc>
        <w:tc>
          <w:tcPr>
            <w:tcW w:w="4921" w:type="dxa"/>
          </w:tcPr>
          <w:p w14:paraId="71119F8F" w14:textId="77777777" w:rsidR="00A160B2" w:rsidRPr="005D43D1" w:rsidRDefault="00A160B2" w:rsidP="00603EC9">
            <w:pPr>
              <w:pStyle w:val="Infotext"/>
            </w:pPr>
          </w:p>
          <w:p w14:paraId="56B1F0DF" w14:textId="77777777" w:rsidR="00807A4C" w:rsidRPr="00807A4C" w:rsidRDefault="00807A4C" w:rsidP="00594A34">
            <w:pPr>
              <w:pStyle w:val="Infotext"/>
              <w:rPr>
                <w:rFonts w:cs="Arial"/>
                <w:sz w:val="4"/>
                <w:szCs w:val="4"/>
              </w:rPr>
            </w:pPr>
          </w:p>
          <w:p w14:paraId="2F3C7515" w14:textId="77777777" w:rsidR="00807A4C" w:rsidRPr="00807A4C" w:rsidRDefault="00807A4C" w:rsidP="00594A34">
            <w:pPr>
              <w:pStyle w:val="Infotext"/>
              <w:rPr>
                <w:rFonts w:cs="Arial"/>
                <w:sz w:val="4"/>
                <w:szCs w:val="4"/>
              </w:rPr>
            </w:pPr>
          </w:p>
          <w:p w14:paraId="3269835C" w14:textId="5B679142" w:rsidR="00594A34" w:rsidRPr="00807A4C" w:rsidRDefault="007B7A39" w:rsidP="00594A34">
            <w:pPr>
              <w:pStyle w:val="Infotext"/>
              <w:rPr>
                <w:rFonts w:cs="Arial"/>
                <w:szCs w:val="28"/>
              </w:rPr>
            </w:pPr>
            <w:r w:rsidRPr="00807A4C">
              <w:rPr>
                <w:rFonts w:cs="Arial"/>
              </w:rPr>
              <w:t>None</w:t>
            </w:r>
            <w:r w:rsidR="00810014" w:rsidRPr="00807A4C">
              <w:rPr>
                <w:rFonts w:cs="Arial"/>
              </w:rPr>
              <w:tab/>
            </w:r>
            <w:r w:rsidR="00810014" w:rsidRPr="00807A4C">
              <w:rPr>
                <w:rFonts w:cs="Arial"/>
                <w:szCs w:val="28"/>
              </w:rPr>
              <w:tab/>
            </w:r>
            <w:r w:rsidR="00810014" w:rsidRPr="00807A4C">
              <w:rPr>
                <w:rFonts w:cs="Arial"/>
                <w:szCs w:val="28"/>
              </w:rPr>
              <w:tab/>
            </w:r>
            <w:r w:rsidR="00810014" w:rsidRPr="00807A4C">
              <w:rPr>
                <w:rFonts w:cs="Arial"/>
                <w:szCs w:val="28"/>
              </w:rPr>
              <w:tab/>
            </w:r>
            <w:r w:rsidR="00810014" w:rsidRPr="00807A4C">
              <w:rPr>
                <w:rFonts w:cs="Arial"/>
                <w:szCs w:val="28"/>
              </w:rPr>
              <w:tab/>
            </w:r>
          </w:p>
          <w:p w14:paraId="4C232B02" w14:textId="4C0233D0" w:rsidR="0082172F" w:rsidRPr="001A319C" w:rsidRDefault="0082172F" w:rsidP="00594A34">
            <w:pPr>
              <w:pStyle w:val="Infotext"/>
              <w:tabs>
                <w:tab w:val="center" w:pos="2352"/>
              </w:tabs>
              <w:rPr>
                <w:b/>
                <w:bCs/>
                <w:sz w:val="24"/>
                <w:szCs w:val="24"/>
              </w:rPr>
            </w:pPr>
          </w:p>
        </w:tc>
      </w:tr>
    </w:tbl>
    <w:p w14:paraId="4AE658C8" w14:textId="77777777" w:rsidR="00231DB8" w:rsidRDefault="00231DB8"/>
    <w:p w14:paraId="594BABB7" w14:textId="77777777" w:rsidR="00231DB8" w:rsidRDefault="00231DB8"/>
    <w:p w14:paraId="02EEF626" w14:textId="77777777" w:rsidR="00231DB8" w:rsidRDefault="00231DB8"/>
    <w:p w14:paraId="6D358785" w14:textId="77777777" w:rsidR="00231DB8" w:rsidRDefault="00231DB8"/>
    <w:p w14:paraId="54D2A3DC" w14:textId="77777777" w:rsidR="00231DB8" w:rsidRDefault="00231DB8"/>
    <w:p w14:paraId="0284FBE2" w14:textId="77777777" w:rsidR="00231DB8" w:rsidRDefault="00231DB8"/>
    <w:p w14:paraId="526292E5" w14:textId="77777777" w:rsidR="00231DB8" w:rsidRDefault="00231DB8"/>
    <w:p w14:paraId="5FB87A74" w14:textId="77777777" w:rsidR="00231DB8" w:rsidRDefault="00231DB8"/>
    <w:p w14:paraId="56297631" w14:textId="77777777" w:rsidR="00231DB8" w:rsidRDefault="00231DB8"/>
    <w:p w14:paraId="41AB675D" w14:textId="77777777" w:rsidR="00231DB8" w:rsidRDefault="00231DB8"/>
    <w:p w14:paraId="63881672" w14:textId="77777777" w:rsidR="00231DB8" w:rsidRDefault="00231DB8"/>
    <w:p w14:paraId="73E5AA77" w14:textId="77777777" w:rsidR="00231DB8" w:rsidRDefault="00231DB8"/>
    <w:p w14:paraId="18A939CB" w14:textId="4CC989A5" w:rsidR="007855AE" w:rsidRPr="00231DB8" w:rsidRDefault="00231DB8">
      <w:pPr>
        <w:rPr>
          <w:rFonts w:ascii="Arial Black" w:hAnsi="Arial Black"/>
          <w:sz w:val="32"/>
          <w:szCs w:val="32"/>
        </w:rPr>
      </w:pPr>
      <w:r w:rsidRPr="00231DB8">
        <w:rPr>
          <w:rFonts w:ascii="Arial Black" w:hAnsi="Arial Black"/>
          <w:sz w:val="32"/>
          <w:szCs w:val="32"/>
        </w:rPr>
        <w:t>Section 1 – Summary and Recommendations</w:t>
      </w:r>
    </w:p>
    <w:tbl>
      <w:tblPr>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4"/>
      </w:tblGrid>
      <w:tr w:rsidR="00A160B2" w14:paraId="281F4D12" w14:textId="77777777" w:rsidTr="00231DB8">
        <w:trPr>
          <w:trHeight w:val="1633"/>
          <w:tblHeader/>
        </w:trPr>
        <w:tc>
          <w:tcPr>
            <w:tcW w:w="8384" w:type="dxa"/>
            <w:tcBorders>
              <w:left w:val="nil"/>
              <w:bottom w:val="nil"/>
              <w:right w:val="nil"/>
            </w:tcBorders>
          </w:tcPr>
          <w:p w14:paraId="34702840" w14:textId="530AFD33" w:rsidR="006827BE" w:rsidRDefault="00594A34" w:rsidP="006827BE">
            <w:pPr>
              <w:jc w:val="both"/>
              <w:rPr>
                <w:rFonts w:cs="Arial"/>
                <w:szCs w:val="24"/>
                <w:lang w:eastAsia="en-GB"/>
              </w:rPr>
            </w:pPr>
            <w:r w:rsidRPr="00594A34">
              <w:rPr>
                <w:rFonts w:cs="Arial"/>
                <w:szCs w:val="24"/>
                <w:lang w:eastAsia="en-GB"/>
              </w:rPr>
              <w:t xml:space="preserve">This report provides </w:t>
            </w:r>
            <w:r w:rsidR="006827BE" w:rsidRPr="006827BE">
              <w:rPr>
                <w:rFonts w:cs="Arial"/>
                <w:szCs w:val="24"/>
                <w:lang w:eastAsia="en-GB"/>
              </w:rPr>
              <w:t>Members with information relating to the administration performance of the Fund over the last quarter.</w:t>
            </w:r>
          </w:p>
          <w:p w14:paraId="08146FD1" w14:textId="77777777" w:rsidR="00594A34" w:rsidRDefault="00594A34" w:rsidP="00F65E9D">
            <w:pPr>
              <w:jc w:val="both"/>
              <w:rPr>
                <w:rFonts w:ascii="Arial Bold" w:hAnsi="Arial Bold"/>
                <w:b/>
                <w:sz w:val="28"/>
              </w:rPr>
            </w:pPr>
          </w:p>
          <w:p w14:paraId="4F9D0A08" w14:textId="77777777" w:rsidR="00A160B2" w:rsidRPr="00A160B2" w:rsidRDefault="00A160B2" w:rsidP="00F65E9D">
            <w:pPr>
              <w:jc w:val="both"/>
              <w:rPr>
                <w:rFonts w:ascii="Arial Bold" w:hAnsi="Arial Bold"/>
                <w:b/>
                <w:sz w:val="28"/>
              </w:rPr>
            </w:pPr>
            <w:r w:rsidRPr="00A160B2">
              <w:rPr>
                <w:rFonts w:ascii="Arial Bold" w:hAnsi="Arial Bold"/>
                <w:b/>
                <w:sz w:val="28"/>
              </w:rPr>
              <w:t xml:space="preserve">Recommendations: </w:t>
            </w:r>
          </w:p>
          <w:p w14:paraId="714CBDEE" w14:textId="4A4E2EFC" w:rsidR="00A160B2" w:rsidRDefault="00480F0B" w:rsidP="00F65E9D">
            <w:pPr>
              <w:jc w:val="both"/>
            </w:pPr>
            <w:r>
              <w:t xml:space="preserve">The </w:t>
            </w:r>
            <w:r w:rsidR="0027351E">
              <w:t>Board</w:t>
            </w:r>
            <w:r>
              <w:t xml:space="preserve"> is </w:t>
            </w:r>
            <w:r>
              <w:rPr>
                <w:b/>
                <w:bCs/>
              </w:rPr>
              <w:t>recommended</w:t>
            </w:r>
            <w:r>
              <w:t xml:space="preserve"> to</w:t>
            </w:r>
            <w:r w:rsidR="00594A34" w:rsidRPr="00594A34">
              <w:t xml:space="preserve"> consider</w:t>
            </w:r>
            <w:r w:rsidR="006827BE">
              <w:t>,</w:t>
            </w:r>
            <w:r w:rsidR="00594A34">
              <w:t xml:space="preserve"> </w:t>
            </w:r>
            <w:r w:rsidR="00231DB8">
              <w:t xml:space="preserve">note and </w:t>
            </w:r>
            <w:r w:rsidR="006827BE">
              <w:t xml:space="preserve">comment on the contents of </w:t>
            </w:r>
            <w:r w:rsidR="00594A34" w:rsidRPr="00594A34">
              <w:t>th</w:t>
            </w:r>
            <w:r w:rsidR="006827BE">
              <w:t>is</w:t>
            </w:r>
            <w:r w:rsidR="00594A34" w:rsidRPr="00594A34">
              <w:t xml:space="preserve"> report</w:t>
            </w:r>
            <w:r w:rsidR="00231DB8">
              <w:t xml:space="preserve"> and make recommendations to the Pension Fund Committee if appropriate or if any further action is required</w:t>
            </w:r>
            <w:r w:rsidR="00594A34" w:rsidRPr="00594A34">
              <w:t>.</w:t>
            </w:r>
          </w:p>
        </w:tc>
      </w:tr>
    </w:tbl>
    <w:p w14:paraId="53DC7DE2" w14:textId="77777777" w:rsidR="002A2389" w:rsidRDefault="002A2389" w:rsidP="00231DB8">
      <w:pPr>
        <w:pStyle w:val="Heading2"/>
        <w:ind w:firstLine="142"/>
      </w:pPr>
      <w:r>
        <w:t>Section 2 – Report</w:t>
      </w:r>
    </w:p>
    <w:p w14:paraId="210822B5" w14:textId="77777777" w:rsidR="00594A34" w:rsidRDefault="00594A34" w:rsidP="00594A34">
      <w:pPr>
        <w:pStyle w:val="ListParagraph"/>
        <w:rPr>
          <w:szCs w:val="24"/>
        </w:rPr>
      </w:pPr>
    </w:p>
    <w:p w14:paraId="5502FE6B" w14:textId="77777777" w:rsidR="00231DB8" w:rsidRDefault="00231DB8" w:rsidP="00F10314">
      <w:pPr>
        <w:numPr>
          <w:ilvl w:val="0"/>
          <w:numId w:val="2"/>
        </w:numPr>
        <w:tabs>
          <w:tab w:val="num" w:pos="284"/>
        </w:tabs>
        <w:ind w:left="284" w:hanging="851"/>
        <w:jc w:val="both"/>
      </w:pPr>
      <w:r>
        <w:t xml:space="preserve">London Borough of Harrow (the Council) is the Administering Authority for the Local Government Pension Scheme (LGPS) on behalf of the employers participating in the LGPS through the London Borough of Harrow Pension Fund (the Fund). The LGPS is governed by statutory regulation. </w:t>
      </w:r>
    </w:p>
    <w:p w14:paraId="37D1E01B" w14:textId="77777777" w:rsidR="00231DB8" w:rsidRDefault="00231DB8" w:rsidP="00231DB8">
      <w:pPr>
        <w:ind w:left="284"/>
        <w:jc w:val="both"/>
      </w:pPr>
    </w:p>
    <w:p w14:paraId="20211F2A" w14:textId="1561F009" w:rsidR="00231DB8" w:rsidRDefault="00231DB8" w:rsidP="00231DB8">
      <w:pPr>
        <w:numPr>
          <w:ilvl w:val="0"/>
          <w:numId w:val="2"/>
        </w:numPr>
        <w:tabs>
          <w:tab w:val="num" w:pos="284"/>
        </w:tabs>
        <w:ind w:left="284" w:hanging="851"/>
        <w:jc w:val="both"/>
      </w:pPr>
      <w:r>
        <w:t xml:space="preserve">The Harrow Pension Administration Team carries out the operational, day-to-day tasks on behalf of the members and employers of the Fund and for the Council. A core part of running the pension fund is the maintenance of scheme membership records that enable scheme benefits to be calculated in addition to dealing with new members joining and members leaving the scheme. The team also deals with employer related issues, including new employers and cessation. </w:t>
      </w:r>
    </w:p>
    <w:p w14:paraId="127CB621" w14:textId="31B55A9C" w:rsidR="0053781D" w:rsidRDefault="0053781D" w:rsidP="00231DB8">
      <w:pPr>
        <w:ind w:left="284"/>
        <w:jc w:val="both"/>
      </w:pPr>
    </w:p>
    <w:p w14:paraId="2EFE6798" w14:textId="55B48309" w:rsidR="00231DB8" w:rsidRPr="00231DB8" w:rsidRDefault="00231DB8" w:rsidP="00231DB8">
      <w:pPr>
        <w:ind w:left="284"/>
        <w:jc w:val="both"/>
        <w:rPr>
          <w:b/>
          <w:bCs/>
        </w:rPr>
      </w:pPr>
      <w:r w:rsidRPr="00231DB8">
        <w:rPr>
          <w:b/>
          <w:bCs/>
        </w:rPr>
        <w:t>Key Activity Summary</w:t>
      </w:r>
    </w:p>
    <w:p w14:paraId="73574EEB" w14:textId="77777777" w:rsidR="00231DB8" w:rsidRDefault="00231DB8" w:rsidP="00231DB8">
      <w:pPr>
        <w:pStyle w:val="ListParagraph"/>
      </w:pPr>
    </w:p>
    <w:tbl>
      <w:tblPr>
        <w:tblStyle w:val="TableGrid"/>
        <w:tblW w:w="8147" w:type="dxa"/>
        <w:tblInd w:w="284" w:type="dxa"/>
        <w:tblLook w:val="04A0" w:firstRow="1" w:lastRow="0" w:firstColumn="1" w:lastColumn="0" w:noHBand="0" w:noVBand="1"/>
      </w:tblPr>
      <w:tblGrid>
        <w:gridCol w:w="4072"/>
        <w:gridCol w:w="4075"/>
      </w:tblGrid>
      <w:tr w:rsidR="00231DB8" w14:paraId="630F14CD" w14:textId="77777777" w:rsidTr="00B06749">
        <w:trPr>
          <w:trHeight w:val="280"/>
        </w:trPr>
        <w:tc>
          <w:tcPr>
            <w:tcW w:w="4072" w:type="dxa"/>
            <w:shd w:val="clear" w:color="auto" w:fill="D9D9D9" w:themeFill="background1" w:themeFillShade="D9"/>
          </w:tcPr>
          <w:p w14:paraId="788AFE22" w14:textId="23EF1A5D" w:rsidR="00231DB8" w:rsidRPr="00231DB8" w:rsidRDefault="00231DB8" w:rsidP="00231DB8">
            <w:pPr>
              <w:jc w:val="both"/>
              <w:rPr>
                <w:b/>
                <w:bCs/>
              </w:rPr>
            </w:pPr>
            <w:r w:rsidRPr="00231DB8">
              <w:rPr>
                <w:b/>
                <w:bCs/>
              </w:rPr>
              <w:t>Activity / Project Area</w:t>
            </w:r>
          </w:p>
        </w:tc>
        <w:tc>
          <w:tcPr>
            <w:tcW w:w="4075" w:type="dxa"/>
            <w:shd w:val="clear" w:color="auto" w:fill="D9D9D9" w:themeFill="background1" w:themeFillShade="D9"/>
          </w:tcPr>
          <w:p w14:paraId="0744521F" w14:textId="1778033E" w:rsidR="00231DB8" w:rsidRPr="00231DB8" w:rsidRDefault="00231DB8" w:rsidP="00231DB8">
            <w:pPr>
              <w:jc w:val="both"/>
              <w:rPr>
                <w:b/>
                <w:bCs/>
              </w:rPr>
            </w:pPr>
            <w:r w:rsidRPr="00231DB8">
              <w:rPr>
                <w:b/>
                <w:bCs/>
              </w:rPr>
              <w:t>Impact on Harrow Pension</w:t>
            </w:r>
          </w:p>
        </w:tc>
      </w:tr>
      <w:tr w:rsidR="00231DB8" w14:paraId="30F14B94" w14:textId="77777777" w:rsidTr="00B06749">
        <w:trPr>
          <w:trHeight w:val="831"/>
        </w:trPr>
        <w:tc>
          <w:tcPr>
            <w:tcW w:w="4072" w:type="dxa"/>
          </w:tcPr>
          <w:p w14:paraId="7E41DDBB" w14:textId="77777777" w:rsidR="00231DB8" w:rsidRDefault="00231DB8" w:rsidP="00231DB8">
            <w:pPr>
              <w:jc w:val="both"/>
            </w:pPr>
            <w:r w:rsidRPr="00231DB8">
              <w:rPr>
                <w:b/>
                <w:bCs/>
              </w:rPr>
              <w:t>McCloud</w:t>
            </w:r>
            <w:r>
              <w:t xml:space="preserve">: In December 2018, the Court of Appeal ruled that younger members of the Judges’ and Firefighters’ Pension schemes have been discriminated against because the protections do not apply to them. The government has decided that the general principles established will apply to all public sector pension schemes and, therefore, it has consulted on amending the LGPS Regulations. </w:t>
            </w:r>
          </w:p>
          <w:p w14:paraId="549DD663" w14:textId="466DD2EE" w:rsidR="00231DB8" w:rsidRDefault="00231DB8" w:rsidP="00231DB8">
            <w:pPr>
              <w:jc w:val="both"/>
            </w:pPr>
            <w:r>
              <w:t>Employers will be required to provide payroll data that will pre date 2014, which may pose challenges.</w:t>
            </w:r>
          </w:p>
        </w:tc>
        <w:tc>
          <w:tcPr>
            <w:tcW w:w="4075" w:type="dxa"/>
          </w:tcPr>
          <w:p w14:paraId="46366C9B" w14:textId="520A1BE4" w:rsidR="00231DB8" w:rsidRDefault="00231DB8" w:rsidP="00231DB8">
            <w:pPr>
              <w:jc w:val="both"/>
            </w:pPr>
            <w:r>
              <w:t xml:space="preserve">The Harrow Pension Administration Team will need to undertake a remediation process for all affected members in line with the regulations, LGA and its software providers, to ensure the reformed regulations are carried out within the scheme membership. The potential financial impact has been assumed at the last valuation by Hymans to be 0.5% of the total fund worth. We will work to provide a clearer understanding of the affected members and, more accurate costs in line with the regulatory changes. </w:t>
            </w:r>
          </w:p>
        </w:tc>
      </w:tr>
      <w:tr w:rsidR="00231DB8" w14:paraId="5FA45FF9" w14:textId="77777777" w:rsidTr="00B06749">
        <w:trPr>
          <w:trHeight w:val="3777"/>
        </w:trPr>
        <w:tc>
          <w:tcPr>
            <w:tcW w:w="4072" w:type="dxa"/>
          </w:tcPr>
          <w:p w14:paraId="68B6D411" w14:textId="77777777" w:rsidR="00231DB8" w:rsidRDefault="00231DB8" w:rsidP="00231DB8">
            <w:pPr>
              <w:jc w:val="both"/>
            </w:pPr>
            <w:r w:rsidRPr="00231DB8">
              <w:rPr>
                <w:b/>
                <w:bCs/>
              </w:rPr>
              <w:lastRenderedPageBreak/>
              <w:t>Guaranteed minimum pension (GMP)</w:t>
            </w:r>
            <w:r>
              <w:t xml:space="preserve"> Reconciliation Project: The LGPS guarantees to pay you a pension that is at least as high as you would have earned had you not been contracted out of the State Earning Related Pension Scheme (SERPS) at any time between 6 April 1978 and 5 April 1997. </w:t>
            </w:r>
          </w:p>
          <w:p w14:paraId="19CB0B3F" w14:textId="77777777" w:rsidR="00231DB8" w:rsidRDefault="00231DB8" w:rsidP="00231DB8">
            <w:pPr>
              <w:jc w:val="both"/>
            </w:pPr>
          </w:p>
          <w:p w14:paraId="33ED3B5E" w14:textId="60E6B6AB" w:rsidR="00231DB8" w:rsidRDefault="00231DB8" w:rsidP="00231DB8">
            <w:pPr>
              <w:jc w:val="both"/>
            </w:pPr>
            <w:r>
              <w:t>The Harrow Pension Administration is to undertake the rectification of members GMP in line with the HMRC guidance.</w:t>
            </w:r>
          </w:p>
        </w:tc>
        <w:tc>
          <w:tcPr>
            <w:tcW w:w="4075" w:type="dxa"/>
          </w:tcPr>
          <w:p w14:paraId="1F677B6E" w14:textId="77777777" w:rsidR="00231DB8" w:rsidRDefault="00231DB8" w:rsidP="00231DB8">
            <w:pPr>
              <w:jc w:val="both"/>
            </w:pPr>
            <w:r>
              <w:t xml:space="preserve">The Team is to work with the HMRC to analyse data held on our system Altair and the data held by HMRC, with a view to full rectification by the end of 2023. </w:t>
            </w:r>
          </w:p>
          <w:p w14:paraId="7B15B443" w14:textId="77777777" w:rsidR="00B06749" w:rsidRDefault="00B06749" w:rsidP="00231DB8">
            <w:pPr>
              <w:jc w:val="both"/>
            </w:pPr>
          </w:p>
          <w:p w14:paraId="73395285" w14:textId="68DCD64A" w:rsidR="00231DB8" w:rsidRDefault="00231DB8" w:rsidP="00231DB8">
            <w:pPr>
              <w:jc w:val="both"/>
            </w:pPr>
            <w:r>
              <w:t xml:space="preserve">This work will not only ensure that the fund has accurate member liabilities, but it will also ensure the GMP amounts are correct for our members, resulting in potential over or underpayments, that will be corrected where agreed. Potential cost impact is unknown at this stage. </w:t>
            </w:r>
          </w:p>
          <w:p w14:paraId="2F0B4D61" w14:textId="791FA0B0" w:rsidR="00231DB8" w:rsidRDefault="00231DB8" w:rsidP="00231DB8">
            <w:pPr>
              <w:jc w:val="both"/>
            </w:pPr>
          </w:p>
        </w:tc>
      </w:tr>
    </w:tbl>
    <w:p w14:paraId="547573DD" w14:textId="77777777" w:rsidR="0057130D" w:rsidRDefault="0057130D" w:rsidP="0057130D">
      <w:pPr>
        <w:pStyle w:val="ListParagraph"/>
      </w:pPr>
    </w:p>
    <w:p w14:paraId="605ACAE2" w14:textId="2A3F18FD" w:rsidR="00231DB8" w:rsidRDefault="00231DB8" w:rsidP="00231DB8">
      <w:pPr>
        <w:ind w:left="284"/>
        <w:jc w:val="both"/>
        <w:rPr>
          <w:b/>
          <w:bCs/>
        </w:rPr>
      </w:pPr>
      <w:r w:rsidRPr="00231DB8">
        <w:rPr>
          <w:b/>
          <w:bCs/>
        </w:rPr>
        <w:t>Membership</w:t>
      </w:r>
    </w:p>
    <w:p w14:paraId="51AE7BC0" w14:textId="77777777" w:rsidR="00231DB8" w:rsidRPr="00231DB8" w:rsidRDefault="00231DB8" w:rsidP="00231DB8">
      <w:pPr>
        <w:ind w:left="284"/>
        <w:jc w:val="both"/>
        <w:rPr>
          <w:b/>
          <w:bCs/>
        </w:rPr>
      </w:pPr>
    </w:p>
    <w:p w14:paraId="3E83A65A" w14:textId="77777777" w:rsidR="00231DB8" w:rsidRDefault="00231DB8" w:rsidP="00231DB8">
      <w:pPr>
        <w:numPr>
          <w:ilvl w:val="0"/>
          <w:numId w:val="2"/>
        </w:numPr>
        <w:tabs>
          <w:tab w:val="num" w:pos="284"/>
        </w:tabs>
        <w:ind w:left="284" w:hanging="851"/>
        <w:jc w:val="both"/>
      </w:pPr>
      <w:r w:rsidRPr="0057130D">
        <w:t>Employees w</w:t>
      </w:r>
      <w:r>
        <w:t>ork</w:t>
      </w:r>
      <w:r w:rsidRPr="0057130D">
        <w:t xml:space="preserve">ing for an employer that participates in </w:t>
      </w:r>
      <w:r>
        <w:t>the Local G</w:t>
      </w:r>
      <w:r w:rsidRPr="0057130D">
        <w:t xml:space="preserve">overnment </w:t>
      </w:r>
      <w:r>
        <w:t>P</w:t>
      </w:r>
      <w:r w:rsidRPr="0057130D">
        <w:t xml:space="preserve">ension </w:t>
      </w:r>
      <w:r>
        <w:t>S</w:t>
      </w:r>
      <w:r w:rsidRPr="0057130D">
        <w:t xml:space="preserve">cheme </w:t>
      </w:r>
      <w:r>
        <w:t>(</w:t>
      </w:r>
      <w:r w:rsidRPr="0057130D">
        <w:t>LGPS</w:t>
      </w:r>
      <w:r>
        <w:t>)</w:t>
      </w:r>
      <w:r w:rsidRPr="0057130D">
        <w:t xml:space="preserve"> are eligible for membership in the scheme membership</w:t>
      </w:r>
      <w:r>
        <w:t>. Membership</w:t>
      </w:r>
      <w:r w:rsidRPr="0057130D">
        <w:t xml:space="preserve"> in the </w:t>
      </w:r>
      <w:r>
        <w:t xml:space="preserve">LGPS </w:t>
      </w:r>
      <w:r w:rsidRPr="0057130D">
        <w:t>is voluntary</w:t>
      </w:r>
      <w:r>
        <w:t>,</w:t>
      </w:r>
      <w:r w:rsidRPr="0057130D">
        <w:t xml:space="preserve"> members are free to choose whether to continue participating in the scheme or to make personal arrangements outside of it</w:t>
      </w:r>
      <w:r>
        <w:t>.</w:t>
      </w:r>
    </w:p>
    <w:p w14:paraId="5D70769F" w14:textId="77777777" w:rsidR="00231DB8" w:rsidRDefault="00231DB8" w:rsidP="00231DB8">
      <w:pPr>
        <w:ind w:left="284"/>
        <w:jc w:val="both"/>
      </w:pPr>
    </w:p>
    <w:p w14:paraId="679128C8" w14:textId="2DCE466C" w:rsidR="000F3D82" w:rsidRDefault="0057130D" w:rsidP="00E45EC5">
      <w:pPr>
        <w:numPr>
          <w:ilvl w:val="0"/>
          <w:numId w:val="2"/>
        </w:numPr>
        <w:tabs>
          <w:tab w:val="num" w:pos="284"/>
        </w:tabs>
        <w:ind w:left="284" w:hanging="851"/>
        <w:jc w:val="both"/>
      </w:pPr>
      <w:r w:rsidRPr="0057130D">
        <w:t>The below table provides a breakdown o</w:t>
      </w:r>
      <w:r w:rsidR="00C43F54">
        <w:t>f</w:t>
      </w:r>
      <w:r w:rsidRPr="0057130D">
        <w:t xml:space="preserve"> London </w:t>
      </w:r>
      <w:r>
        <w:t>B</w:t>
      </w:r>
      <w:r w:rsidRPr="0057130D">
        <w:t xml:space="preserve">orough of Harrow </w:t>
      </w:r>
      <w:r>
        <w:t>P</w:t>
      </w:r>
      <w:r w:rsidRPr="0057130D">
        <w:t xml:space="preserve">ension </w:t>
      </w:r>
      <w:r>
        <w:t>F</w:t>
      </w:r>
      <w:r w:rsidRPr="0057130D">
        <w:t>und</w:t>
      </w:r>
      <w:r>
        <w:t>’</w:t>
      </w:r>
      <w:r w:rsidRPr="0057130D">
        <w:t xml:space="preserve">s membership as </w:t>
      </w:r>
      <w:r>
        <w:t>at 30</w:t>
      </w:r>
      <w:r w:rsidRPr="0057130D">
        <w:t xml:space="preserve"> June 2023</w:t>
      </w:r>
      <w:r>
        <w:t xml:space="preserve">. </w:t>
      </w:r>
    </w:p>
    <w:tbl>
      <w:tblPr>
        <w:tblpPr w:leftFromText="180" w:rightFromText="180" w:vertAnchor="text" w:horzAnchor="margin" w:tblpY="161"/>
        <w:tblW w:w="7975" w:type="dxa"/>
        <w:tblLook w:val="04A0" w:firstRow="1" w:lastRow="0" w:firstColumn="1" w:lastColumn="0" w:noHBand="0" w:noVBand="1"/>
      </w:tblPr>
      <w:tblGrid>
        <w:gridCol w:w="3505"/>
        <w:gridCol w:w="1413"/>
        <w:gridCol w:w="1358"/>
        <w:gridCol w:w="1699"/>
      </w:tblGrid>
      <w:tr w:rsidR="00231DB8" w:rsidRPr="003E32E0" w14:paraId="74206615" w14:textId="77777777" w:rsidTr="00231DB8">
        <w:trPr>
          <w:trHeight w:val="279"/>
        </w:trPr>
        <w:tc>
          <w:tcPr>
            <w:tcW w:w="3505"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9FE996D" w14:textId="6D7040B1" w:rsidR="00231DB8" w:rsidRPr="003E32E0" w:rsidRDefault="00231DB8" w:rsidP="000F3D82">
            <w:pPr>
              <w:rPr>
                <w:rFonts w:cs="Arial"/>
                <w:b/>
                <w:bCs/>
                <w:color w:val="000000"/>
                <w:sz w:val="22"/>
                <w:szCs w:val="22"/>
                <w:lang w:eastAsia="en-GB"/>
              </w:rPr>
            </w:pPr>
            <w:r>
              <w:rPr>
                <w:rFonts w:cs="Arial"/>
                <w:b/>
                <w:bCs/>
                <w:color w:val="000000"/>
                <w:sz w:val="22"/>
                <w:szCs w:val="22"/>
                <w:lang w:eastAsia="en-GB"/>
              </w:rPr>
              <w:t>LB Harrow Pension Fund Member status</w:t>
            </w:r>
          </w:p>
        </w:tc>
        <w:tc>
          <w:tcPr>
            <w:tcW w:w="1413" w:type="dxa"/>
            <w:tcBorders>
              <w:top w:val="single" w:sz="4" w:space="0" w:color="auto"/>
              <w:left w:val="nil"/>
              <w:bottom w:val="single" w:sz="4" w:space="0" w:color="auto"/>
              <w:right w:val="single" w:sz="4" w:space="0" w:color="auto"/>
            </w:tcBorders>
            <w:shd w:val="clear" w:color="000000" w:fill="D0CECE"/>
            <w:noWrap/>
            <w:vAlign w:val="bottom"/>
            <w:hideMark/>
          </w:tcPr>
          <w:p w14:paraId="5750A74A" w14:textId="05390B31" w:rsidR="00231DB8" w:rsidRPr="003E32E0" w:rsidRDefault="00231DB8" w:rsidP="000F3D82">
            <w:pPr>
              <w:jc w:val="right"/>
              <w:rPr>
                <w:rFonts w:cs="Arial"/>
                <w:b/>
                <w:bCs/>
                <w:color w:val="000000"/>
                <w:sz w:val="22"/>
                <w:szCs w:val="22"/>
                <w:lang w:eastAsia="en-GB"/>
              </w:rPr>
            </w:pPr>
            <w:r>
              <w:rPr>
                <w:rFonts w:cs="Arial"/>
                <w:b/>
                <w:bCs/>
                <w:color w:val="000000"/>
                <w:sz w:val="22"/>
                <w:szCs w:val="22"/>
                <w:lang w:eastAsia="en-GB"/>
              </w:rPr>
              <w:t>31 March 2023</w:t>
            </w:r>
          </w:p>
        </w:tc>
        <w:tc>
          <w:tcPr>
            <w:tcW w:w="1358" w:type="dxa"/>
            <w:tcBorders>
              <w:top w:val="single" w:sz="4" w:space="0" w:color="auto"/>
              <w:left w:val="nil"/>
              <w:bottom w:val="single" w:sz="4" w:space="0" w:color="auto"/>
              <w:right w:val="single" w:sz="4" w:space="0" w:color="auto"/>
            </w:tcBorders>
            <w:shd w:val="clear" w:color="000000" w:fill="D0CECE"/>
            <w:noWrap/>
            <w:vAlign w:val="bottom"/>
            <w:hideMark/>
          </w:tcPr>
          <w:p w14:paraId="4C2EA0AB" w14:textId="68593E1B" w:rsidR="00231DB8" w:rsidRPr="003E32E0" w:rsidRDefault="00231DB8" w:rsidP="000F3D82">
            <w:pPr>
              <w:jc w:val="right"/>
              <w:rPr>
                <w:rFonts w:cs="Arial"/>
                <w:b/>
                <w:bCs/>
                <w:color w:val="000000"/>
                <w:sz w:val="22"/>
                <w:szCs w:val="22"/>
                <w:lang w:eastAsia="en-GB"/>
              </w:rPr>
            </w:pPr>
            <w:r>
              <w:rPr>
                <w:rFonts w:cs="Arial"/>
                <w:b/>
                <w:bCs/>
                <w:color w:val="000000"/>
                <w:sz w:val="22"/>
                <w:szCs w:val="22"/>
                <w:lang w:eastAsia="en-GB"/>
              </w:rPr>
              <w:t>30 June 2023</w:t>
            </w:r>
          </w:p>
        </w:tc>
        <w:tc>
          <w:tcPr>
            <w:tcW w:w="1699" w:type="dxa"/>
            <w:tcBorders>
              <w:top w:val="single" w:sz="4" w:space="0" w:color="auto"/>
              <w:left w:val="nil"/>
              <w:bottom w:val="single" w:sz="4" w:space="0" w:color="auto"/>
              <w:right w:val="single" w:sz="4" w:space="0" w:color="auto"/>
            </w:tcBorders>
            <w:shd w:val="clear" w:color="000000" w:fill="D0CECE"/>
            <w:noWrap/>
            <w:vAlign w:val="bottom"/>
            <w:hideMark/>
          </w:tcPr>
          <w:p w14:paraId="4992B2E9" w14:textId="1BE827C6" w:rsidR="00231DB8" w:rsidRPr="003E32E0" w:rsidRDefault="00231DB8" w:rsidP="000F3D82">
            <w:pPr>
              <w:jc w:val="right"/>
              <w:rPr>
                <w:rFonts w:cs="Arial"/>
                <w:b/>
                <w:bCs/>
                <w:color w:val="000000"/>
                <w:sz w:val="22"/>
                <w:szCs w:val="22"/>
                <w:lang w:eastAsia="en-GB"/>
              </w:rPr>
            </w:pPr>
            <w:r>
              <w:rPr>
                <w:rFonts w:cs="Arial"/>
                <w:b/>
                <w:bCs/>
                <w:color w:val="000000"/>
                <w:sz w:val="22"/>
                <w:szCs w:val="22"/>
              </w:rPr>
              <w:t>Change from last quarter</w:t>
            </w:r>
          </w:p>
        </w:tc>
      </w:tr>
      <w:tr w:rsidR="00231DB8" w:rsidRPr="003E32E0" w14:paraId="52A35884" w14:textId="77777777" w:rsidTr="00231DB8">
        <w:trPr>
          <w:trHeight w:val="279"/>
        </w:trPr>
        <w:tc>
          <w:tcPr>
            <w:tcW w:w="350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940A2CA" w14:textId="2C9FBFA8" w:rsidR="00231DB8" w:rsidRPr="003E32E0" w:rsidRDefault="00231DB8" w:rsidP="0057130D">
            <w:pPr>
              <w:rPr>
                <w:rFonts w:cs="Arial"/>
                <w:b/>
                <w:bCs/>
                <w:color w:val="000000"/>
                <w:sz w:val="22"/>
                <w:szCs w:val="22"/>
                <w:lang w:eastAsia="en-GB"/>
              </w:rPr>
            </w:pPr>
            <w:r>
              <w:rPr>
                <w:rFonts w:cs="Arial"/>
                <w:b/>
                <w:bCs/>
                <w:color w:val="000000"/>
                <w:sz w:val="22"/>
                <w:szCs w:val="22"/>
                <w:lang w:eastAsia="en-GB"/>
              </w:rPr>
              <w:t>Active</w:t>
            </w:r>
          </w:p>
        </w:tc>
        <w:tc>
          <w:tcPr>
            <w:tcW w:w="1413" w:type="dxa"/>
            <w:tcBorders>
              <w:top w:val="nil"/>
              <w:left w:val="nil"/>
              <w:bottom w:val="single" w:sz="4" w:space="0" w:color="auto"/>
              <w:right w:val="single" w:sz="4" w:space="0" w:color="auto"/>
            </w:tcBorders>
            <w:shd w:val="clear" w:color="auto" w:fill="auto"/>
            <w:noWrap/>
            <w:vAlign w:val="bottom"/>
          </w:tcPr>
          <w:p w14:paraId="6FB21B63" w14:textId="5FFF9E14" w:rsidR="00231DB8" w:rsidRPr="003E32E0" w:rsidRDefault="00231DB8" w:rsidP="0057130D">
            <w:pPr>
              <w:jc w:val="right"/>
              <w:rPr>
                <w:rFonts w:cs="Arial"/>
                <w:color w:val="000000"/>
                <w:sz w:val="22"/>
                <w:szCs w:val="22"/>
                <w:lang w:eastAsia="en-GB"/>
              </w:rPr>
            </w:pPr>
            <w:r>
              <w:rPr>
                <w:rFonts w:cs="Arial"/>
                <w:color w:val="000000"/>
                <w:sz w:val="22"/>
                <w:szCs w:val="22"/>
              </w:rPr>
              <w:t>5,558</w:t>
            </w:r>
          </w:p>
        </w:tc>
        <w:tc>
          <w:tcPr>
            <w:tcW w:w="1358" w:type="dxa"/>
            <w:tcBorders>
              <w:top w:val="nil"/>
              <w:left w:val="nil"/>
              <w:bottom w:val="single" w:sz="4" w:space="0" w:color="auto"/>
              <w:right w:val="single" w:sz="4" w:space="0" w:color="auto"/>
            </w:tcBorders>
            <w:shd w:val="clear" w:color="auto" w:fill="auto"/>
            <w:noWrap/>
            <w:vAlign w:val="bottom"/>
          </w:tcPr>
          <w:p w14:paraId="1ED19669" w14:textId="66828B04" w:rsidR="00231DB8" w:rsidRPr="003E32E0" w:rsidRDefault="00231DB8" w:rsidP="0057130D">
            <w:pPr>
              <w:jc w:val="right"/>
              <w:rPr>
                <w:rFonts w:cs="Arial"/>
                <w:color w:val="000000"/>
                <w:sz w:val="22"/>
                <w:szCs w:val="22"/>
                <w:lang w:eastAsia="en-GB"/>
              </w:rPr>
            </w:pPr>
            <w:r w:rsidRPr="003E32E0">
              <w:rPr>
                <w:rFonts w:cs="Arial"/>
                <w:color w:val="000000"/>
                <w:sz w:val="22"/>
                <w:szCs w:val="22"/>
                <w:lang w:eastAsia="en-GB"/>
              </w:rPr>
              <w:t>5,566</w:t>
            </w:r>
          </w:p>
        </w:tc>
        <w:tc>
          <w:tcPr>
            <w:tcW w:w="1699" w:type="dxa"/>
            <w:tcBorders>
              <w:top w:val="nil"/>
              <w:left w:val="nil"/>
              <w:bottom w:val="single" w:sz="4" w:space="0" w:color="auto"/>
              <w:right w:val="single" w:sz="4" w:space="0" w:color="auto"/>
            </w:tcBorders>
            <w:shd w:val="clear" w:color="auto" w:fill="auto"/>
            <w:noWrap/>
            <w:vAlign w:val="bottom"/>
          </w:tcPr>
          <w:p w14:paraId="054B3DEC" w14:textId="07886142" w:rsidR="00231DB8" w:rsidRPr="003E32E0" w:rsidRDefault="00231DB8" w:rsidP="0057130D">
            <w:pPr>
              <w:jc w:val="right"/>
              <w:rPr>
                <w:rFonts w:cs="Arial"/>
                <w:color w:val="000000"/>
                <w:sz w:val="22"/>
                <w:szCs w:val="22"/>
                <w:lang w:eastAsia="en-GB"/>
              </w:rPr>
            </w:pPr>
            <w:r>
              <w:rPr>
                <w:rFonts w:cs="Arial"/>
                <w:color w:val="000000"/>
                <w:sz w:val="22"/>
                <w:szCs w:val="22"/>
                <w:lang w:eastAsia="en-GB"/>
              </w:rPr>
              <w:t>8</w:t>
            </w:r>
          </w:p>
        </w:tc>
      </w:tr>
      <w:tr w:rsidR="00231DB8" w:rsidRPr="003E32E0" w14:paraId="2E9CC259" w14:textId="77777777" w:rsidTr="00231DB8">
        <w:trPr>
          <w:trHeight w:val="279"/>
        </w:trPr>
        <w:tc>
          <w:tcPr>
            <w:tcW w:w="350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166C546" w14:textId="0EB0B86C" w:rsidR="00231DB8" w:rsidRPr="0057130D" w:rsidRDefault="00231DB8" w:rsidP="00C43F54">
            <w:pPr>
              <w:rPr>
                <w:rFonts w:cs="Arial"/>
                <w:b/>
                <w:bCs/>
                <w:color w:val="000000"/>
                <w:sz w:val="22"/>
                <w:szCs w:val="22"/>
                <w:lang w:eastAsia="en-GB"/>
              </w:rPr>
            </w:pPr>
            <w:r>
              <w:rPr>
                <w:rFonts w:cs="Arial"/>
                <w:b/>
                <w:bCs/>
                <w:color w:val="000000"/>
                <w:sz w:val="22"/>
                <w:szCs w:val="22"/>
                <w:lang w:eastAsia="en-GB"/>
              </w:rPr>
              <w:t>Deferred</w:t>
            </w:r>
          </w:p>
        </w:tc>
        <w:tc>
          <w:tcPr>
            <w:tcW w:w="1413" w:type="dxa"/>
            <w:tcBorders>
              <w:top w:val="nil"/>
              <w:left w:val="nil"/>
              <w:bottom w:val="single" w:sz="4" w:space="0" w:color="auto"/>
              <w:right w:val="single" w:sz="4" w:space="0" w:color="auto"/>
            </w:tcBorders>
            <w:shd w:val="clear" w:color="auto" w:fill="auto"/>
            <w:noWrap/>
            <w:vAlign w:val="bottom"/>
          </w:tcPr>
          <w:p w14:paraId="5EAAB7DD" w14:textId="391BF9A3" w:rsidR="00231DB8" w:rsidRDefault="00231DB8" w:rsidP="00C43F54">
            <w:pPr>
              <w:jc w:val="right"/>
              <w:rPr>
                <w:rFonts w:cs="Arial"/>
                <w:color w:val="000000"/>
                <w:sz w:val="22"/>
                <w:szCs w:val="22"/>
              </w:rPr>
            </w:pPr>
            <w:r>
              <w:rPr>
                <w:rFonts w:cs="Arial"/>
                <w:color w:val="000000"/>
                <w:sz w:val="22"/>
                <w:szCs w:val="22"/>
              </w:rPr>
              <w:t>7,036</w:t>
            </w:r>
          </w:p>
        </w:tc>
        <w:tc>
          <w:tcPr>
            <w:tcW w:w="1358" w:type="dxa"/>
            <w:tcBorders>
              <w:top w:val="nil"/>
              <w:left w:val="nil"/>
              <w:bottom w:val="single" w:sz="4" w:space="0" w:color="auto"/>
              <w:right w:val="single" w:sz="4" w:space="0" w:color="auto"/>
            </w:tcBorders>
            <w:shd w:val="clear" w:color="auto" w:fill="auto"/>
            <w:noWrap/>
            <w:vAlign w:val="bottom"/>
          </w:tcPr>
          <w:p w14:paraId="565C8448" w14:textId="1F84FE2B" w:rsidR="00231DB8" w:rsidRDefault="00231DB8" w:rsidP="00C43F54">
            <w:pPr>
              <w:jc w:val="right"/>
              <w:rPr>
                <w:rFonts w:cs="Arial"/>
                <w:color w:val="000000"/>
                <w:sz w:val="22"/>
                <w:szCs w:val="22"/>
              </w:rPr>
            </w:pPr>
            <w:r w:rsidRPr="003E32E0">
              <w:rPr>
                <w:rFonts w:cs="Arial"/>
                <w:color w:val="000000"/>
                <w:sz w:val="22"/>
                <w:szCs w:val="22"/>
                <w:lang w:eastAsia="en-GB"/>
              </w:rPr>
              <w:t>7,058</w:t>
            </w:r>
          </w:p>
        </w:tc>
        <w:tc>
          <w:tcPr>
            <w:tcW w:w="1699" w:type="dxa"/>
            <w:tcBorders>
              <w:top w:val="nil"/>
              <w:left w:val="nil"/>
              <w:bottom w:val="single" w:sz="4" w:space="0" w:color="auto"/>
              <w:right w:val="single" w:sz="4" w:space="0" w:color="auto"/>
            </w:tcBorders>
            <w:shd w:val="clear" w:color="auto" w:fill="auto"/>
            <w:noWrap/>
            <w:vAlign w:val="bottom"/>
          </w:tcPr>
          <w:p w14:paraId="10FE162D" w14:textId="44D8BE8A" w:rsidR="00231DB8" w:rsidRDefault="00231DB8" w:rsidP="00C43F54">
            <w:pPr>
              <w:jc w:val="right"/>
              <w:rPr>
                <w:rFonts w:cs="Arial"/>
                <w:color w:val="000000"/>
                <w:sz w:val="22"/>
                <w:szCs w:val="22"/>
              </w:rPr>
            </w:pPr>
            <w:r>
              <w:rPr>
                <w:rFonts w:cs="Arial"/>
                <w:color w:val="000000"/>
                <w:sz w:val="22"/>
                <w:szCs w:val="22"/>
              </w:rPr>
              <w:t>22</w:t>
            </w:r>
          </w:p>
        </w:tc>
      </w:tr>
      <w:tr w:rsidR="00231DB8" w:rsidRPr="003E32E0" w14:paraId="026A004E" w14:textId="77777777" w:rsidTr="00231DB8">
        <w:trPr>
          <w:trHeight w:val="279"/>
        </w:trPr>
        <w:tc>
          <w:tcPr>
            <w:tcW w:w="350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96E755E" w14:textId="4D2EDBCA" w:rsidR="00231DB8" w:rsidRPr="0057130D" w:rsidRDefault="00231DB8" w:rsidP="00C43F54">
            <w:pPr>
              <w:rPr>
                <w:rFonts w:cs="Arial"/>
                <w:b/>
                <w:bCs/>
                <w:color w:val="000000"/>
                <w:sz w:val="22"/>
                <w:szCs w:val="22"/>
                <w:lang w:eastAsia="en-GB"/>
              </w:rPr>
            </w:pPr>
            <w:r>
              <w:rPr>
                <w:rFonts w:cs="Arial"/>
                <w:b/>
                <w:bCs/>
                <w:color w:val="000000"/>
                <w:sz w:val="22"/>
                <w:szCs w:val="22"/>
                <w:lang w:eastAsia="en-GB"/>
              </w:rPr>
              <w:t>Frozen</w:t>
            </w:r>
          </w:p>
        </w:tc>
        <w:tc>
          <w:tcPr>
            <w:tcW w:w="1413" w:type="dxa"/>
            <w:tcBorders>
              <w:top w:val="nil"/>
              <w:left w:val="nil"/>
              <w:bottom w:val="single" w:sz="4" w:space="0" w:color="auto"/>
              <w:right w:val="single" w:sz="4" w:space="0" w:color="auto"/>
            </w:tcBorders>
            <w:shd w:val="clear" w:color="auto" w:fill="auto"/>
            <w:noWrap/>
            <w:vAlign w:val="bottom"/>
          </w:tcPr>
          <w:p w14:paraId="2D997E40" w14:textId="67DF42C0" w:rsidR="00231DB8" w:rsidRPr="003E32E0" w:rsidRDefault="00231DB8" w:rsidP="00C43F54">
            <w:pPr>
              <w:jc w:val="right"/>
              <w:rPr>
                <w:rFonts w:cs="Arial"/>
                <w:color w:val="000000"/>
                <w:sz w:val="22"/>
                <w:szCs w:val="22"/>
                <w:lang w:eastAsia="en-GB"/>
              </w:rPr>
            </w:pPr>
            <w:r>
              <w:rPr>
                <w:rFonts w:cs="Arial"/>
                <w:color w:val="000000"/>
                <w:sz w:val="22"/>
                <w:szCs w:val="22"/>
                <w:lang w:eastAsia="en-GB"/>
              </w:rPr>
              <w:t>829</w:t>
            </w:r>
          </w:p>
        </w:tc>
        <w:tc>
          <w:tcPr>
            <w:tcW w:w="1358" w:type="dxa"/>
            <w:tcBorders>
              <w:top w:val="nil"/>
              <w:left w:val="nil"/>
              <w:bottom w:val="single" w:sz="4" w:space="0" w:color="auto"/>
              <w:right w:val="single" w:sz="4" w:space="0" w:color="auto"/>
            </w:tcBorders>
            <w:shd w:val="clear" w:color="auto" w:fill="auto"/>
            <w:noWrap/>
            <w:vAlign w:val="bottom"/>
          </w:tcPr>
          <w:p w14:paraId="748D34B0" w14:textId="5B5EE2E7" w:rsidR="00231DB8" w:rsidRPr="003E32E0" w:rsidRDefault="00231DB8" w:rsidP="00C43F54">
            <w:pPr>
              <w:jc w:val="right"/>
              <w:rPr>
                <w:rFonts w:cs="Arial"/>
                <w:color w:val="000000"/>
                <w:sz w:val="22"/>
                <w:szCs w:val="22"/>
                <w:lang w:eastAsia="en-GB"/>
              </w:rPr>
            </w:pPr>
            <w:r>
              <w:rPr>
                <w:rFonts w:cs="Arial"/>
                <w:color w:val="000000"/>
                <w:sz w:val="22"/>
                <w:szCs w:val="22"/>
                <w:lang w:eastAsia="en-GB"/>
              </w:rPr>
              <w:t>819</w:t>
            </w:r>
          </w:p>
        </w:tc>
        <w:tc>
          <w:tcPr>
            <w:tcW w:w="1699" w:type="dxa"/>
            <w:tcBorders>
              <w:top w:val="nil"/>
              <w:left w:val="nil"/>
              <w:bottom w:val="single" w:sz="4" w:space="0" w:color="auto"/>
              <w:right w:val="single" w:sz="4" w:space="0" w:color="auto"/>
            </w:tcBorders>
            <w:shd w:val="clear" w:color="auto" w:fill="auto"/>
            <w:noWrap/>
            <w:vAlign w:val="bottom"/>
          </w:tcPr>
          <w:p w14:paraId="682B432A" w14:textId="7AEA9505" w:rsidR="00231DB8" w:rsidRPr="00231DB8" w:rsidRDefault="00231DB8" w:rsidP="00C43F54">
            <w:pPr>
              <w:jc w:val="right"/>
              <w:rPr>
                <w:rFonts w:cs="Arial"/>
                <w:color w:val="FF0000"/>
                <w:sz w:val="22"/>
                <w:szCs w:val="22"/>
                <w:lang w:eastAsia="en-GB"/>
              </w:rPr>
            </w:pPr>
            <w:r>
              <w:rPr>
                <w:rFonts w:cs="Arial"/>
                <w:color w:val="FF0000"/>
                <w:sz w:val="22"/>
                <w:szCs w:val="22"/>
                <w:lang w:eastAsia="en-GB"/>
              </w:rPr>
              <w:t>(</w:t>
            </w:r>
            <w:r w:rsidRPr="00231DB8">
              <w:rPr>
                <w:rFonts w:cs="Arial"/>
                <w:color w:val="FF0000"/>
                <w:sz w:val="22"/>
                <w:szCs w:val="22"/>
                <w:lang w:eastAsia="en-GB"/>
              </w:rPr>
              <w:t>10</w:t>
            </w:r>
            <w:r>
              <w:rPr>
                <w:rFonts w:cs="Arial"/>
                <w:color w:val="FF0000"/>
                <w:sz w:val="22"/>
                <w:szCs w:val="22"/>
                <w:lang w:eastAsia="en-GB"/>
              </w:rPr>
              <w:t>)</w:t>
            </w:r>
          </w:p>
        </w:tc>
      </w:tr>
      <w:tr w:rsidR="00231DB8" w:rsidRPr="003E32E0" w14:paraId="45D5557B" w14:textId="77777777" w:rsidTr="00231DB8">
        <w:trPr>
          <w:trHeight w:val="279"/>
        </w:trPr>
        <w:tc>
          <w:tcPr>
            <w:tcW w:w="350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AD38E4A" w14:textId="6DEDA13E" w:rsidR="00231DB8" w:rsidRPr="003E32E0" w:rsidRDefault="00231DB8" w:rsidP="00231DB8">
            <w:pPr>
              <w:rPr>
                <w:rFonts w:cs="Arial"/>
                <w:b/>
                <w:bCs/>
                <w:color w:val="000000"/>
                <w:sz w:val="22"/>
                <w:szCs w:val="22"/>
                <w:lang w:eastAsia="en-GB"/>
              </w:rPr>
            </w:pPr>
            <w:r>
              <w:rPr>
                <w:rFonts w:cs="Arial"/>
                <w:b/>
                <w:bCs/>
                <w:color w:val="000000"/>
                <w:sz w:val="22"/>
                <w:szCs w:val="22"/>
              </w:rPr>
              <w:t>Pensioner</w:t>
            </w:r>
          </w:p>
        </w:tc>
        <w:tc>
          <w:tcPr>
            <w:tcW w:w="1413" w:type="dxa"/>
            <w:tcBorders>
              <w:top w:val="nil"/>
              <w:left w:val="nil"/>
              <w:bottom w:val="single" w:sz="4" w:space="0" w:color="auto"/>
              <w:right w:val="single" w:sz="4" w:space="0" w:color="auto"/>
            </w:tcBorders>
            <w:shd w:val="clear" w:color="auto" w:fill="auto"/>
            <w:noWrap/>
            <w:vAlign w:val="bottom"/>
            <w:hideMark/>
          </w:tcPr>
          <w:p w14:paraId="010691D1" w14:textId="44AB7F50" w:rsidR="00231DB8" w:rsidRPr="003E32E0" w:rsidRDefault="00231DB8" w:rsidP="00231DB8">
            <w:pPr>
              <w:jc w:val="right"/>
              <w:rPr>
                <w:rFonts w:cs="Arial"/>
                <w:color w:val="000000"/>
                <w:sz w:val="22"/>
                <w:szCs w:val="22"/>
                <w:lang w:eastAsia="en-GB"/>
              </w:rPr>
            </w:pPr>
            <w:r>
              <w:rPr>
                <w:rFonts w:cs="Arial"/>
                <w:color w:val="000000"/>
                <w:sz w:val="22"/>
                <w:szCs w:val="22"/>
              </w:rPr>
              <w:t>6,765</w:t>
            </w:r>
          </w:p>
        </w:tc>
        <w:tc>
          <w:tcPr>
            <w:tcW w:w="1358" w:type="dxa"/>
            <w:tcBorders>
              <w:top w:val="nil"/>
              <w:left w:val="nil"/>
              <w:bottom w:val="single" w:sz="4" w:space="0" w:color="auto"/>
              <w:right w:val="single" w:sz="4" w:space="0" w:color="auto"/>
            </w:tcBorders>
            <w:shd w:val="clear" w:color="auto" w:fill="auto"/>
            <w:noWrap/>
            <w:vAlign w:val="bottom"/>
            <w:hideMark/>
          </w:tcPr>
          <w:p w14:paraId="7414A5BC" w14:textId="4124DD9C" w:rsidR="00231DB8" w:rsidRPr="003E32E0" w:rsidRDefault="00231DB8" w:rsidP="00231DB8">
            <w:pPr>
              <w:jc w:val="right"/>
              <w:rPr>
                <w:rFonts w:cs="Arial"/>
                <w:color w:val="000000"/>
                <w:sz w:val="22"/>
                <w:szCs w:val="22"/>
                <w:lang w:eastAsia="en-GB"/>
              </w:rPr>
            </w:pPr>
            <w:r w:rsidRPr="003E32E0">
              <w:rPr>
                <w:rFonts w:cs="Arial"/>
                <w:color w:val="000000"/>
                <w:sz w:val="22"/>
                <w:szCs w:val="22"/>
                <w:lang w:eastAsia="en-GB"/>
              </w:rPr>
              <w:t>6,705</w:t>
            </w:r>
          </w:p>
        </w:tc>
        <w:tc>
          <w:tcPr>
            <w:tcW w:w="1699" w:type="dxa"/>
            <w:tcBorders>
              <w:top w:val="nil"/>
              <w:left w:val="nil"/>
              <w:bottom w:val="single" w:sz="4" w:space="0" w:color="auto"/>
              <w:right w:val="single" w:sz="4" w:space="0" w:color="auto"/>
            </w:tcBorders>
            <w:shd w:val="clear" w:color="auto" w:fill="auto"/>
            <w:noWrap/>
            <w:vAlign w:val="bottom"/>
            <w:hideMark/>
          </w:tcPr>
          <w:p w14:paraId="1327CED7" w14:textId="5E747DF0" w:rsidR="00231DB8" w:rsidRPr="00231DB8" w:rsidRDefault="00231DB8" w:rsidP="00231DB8">
            <w:pPr>
              <w:jc w:val="right"/>
              <w:rPr>
                <w:rFonts w:cs="Arial"/>
                <w:color w:val="FF0000"/>
                <w:sz w:val="22"/>
                <w:szCs w:val="22"/>
                <w:lang w:eastAsia="en-GB"/>
              </w:rPr>
            </w:pPr>
            <w:r>
              <w:rPr>
                <w:rFonts w:cs="Arial"/>
                <w:color w:val="FF0000"/>
                <w:sz w:val="22"/>
                <w:szCs w:val="22"/>
              </w:rPr>
              <w:t>(</w:t>
            </w:r>
            <w:r w:rsidRPr="00231DB8">
              <w:rPr>
                <w:rFonts w:cs="Arial"/>
                <w:color w:val="FF0000"/>
                <w:sz w:val="22"/>
                <w:szCs w:val="22"/>
              </w:rPr>
              <w:t>60</w:t>
            </w:r>
            <w:r>
              <w:rPr>
                <w:rFonts w:cs="Arial"/>
                <w:color w:val="FF0000"/>
                <w:sz w:val="22"/>
                <w:szCs w:val="22"/>
              </w:rPr>
              <w:t>)</w:t>
            </w:r>
          </w:p>
        </w:tc>
      </w:tr>
      <w:tr w:rsidR="00231DB8" w:rsidRPr="00231DB8" w14:paraId="7D127075" w14:textId="77777777" w:rsidTr="00231DB8">
        <w:trPr>
          <w:trHeight w:val="306"/>
        </w:trPr>
        <w:tc>
          <w:tcPr>
            <w:tcW w:w="3505"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43D26AD" w14:textId="201DB63E" w:rsidR="00231DB8" w:rsidRPr="003E32E0" w:rsidRDefault="00231DB8" w:rsidP="00231DB8">
            <w:pPr>
              <w:rPr>
                <w:rFonts w:cs="Arial"/>
                <w:b/>
                <w:bCs/>
                <w:color w:val="000000"/>
                <w:sz w:val="22"/>
                <w:szCs w:val="22"/>
                <w:lang w:eastAsia="en-GB"/>
              </w:rPr>
            </w:pPr>
            <w:r>
              <w:rPr>
                <w:rFonts w:cs="Arial"/>
                <w:b/>
                <w:bCs/>
                <w:color w:val="000000"/>
                <w:sz w:val="22"/>
                <w:szCs w:val="22"/>
              </w:rPr>
              <w:t>Total</w:t>
            </w:r>
          </w:p>
        </w:tc>
        <w:tc>
          <w:tcPr>
            <w:tcW w:w="1413" w:type="dxa"/>
            <w:tcBorders>
              <w:top w:val="nil"/>
              <w:left w:val="nil"/>
              <w:bottom w:val="single" w:sz="4" w:space="0" w:color="auto"/>
              <w:right w:val="single" w:sz="4" w:space="0" w:color="auto"/>
            </w:tcBorders>
            <w:shd w:val="clear" w:color="auto" w:fill="BFBFBF" w:themeFill="background1" w:themeFillShade="BF"/>
            <w:noWrap/>
            <w:vAlign w:val="bottom"/>
          </w:tcPr>
          <w:p w14:paraId="59019044" w14:textId="7CEF1BA5" w:rsidR="00231DB8" w:rsidRPr="00231DB8" w:rsidRDefault="00231DB8" w:rsidP="00231DB8">
            <w:pPr>
              <w:jc w:val="right"/>
              <w:rPr>
                <w:rFonts w:cs="Arial"/>
                <w:b/>
                <w:bCs/>
                <w:sz w:val="22"/>
                <w:szCs w:val="22"/>
                <w:lang w:eastAsia="en-GB"/>
              </w:rPr>
            </w:pPr>
            <w:r w:rsidRPr="00231DB8">
              <w:rPr>
                <w:rFonts w:cs="Arial"/>
                <w:b/>
                <w:bCs/>
                <w:sz w:val="22"/>
                <w:szCs w:val="22"/>
                <w:lang w:eastAsia="en-GB"/>
              </w:rPr>
              <w:t>20,188</w:t>
            </w:r>
          </w:p>
        </w:tc>
        <w:tc>
          <w:tcPr>
            <w:tcW w:w="1358" w:type="dxa"/>
            <w:tcBorders>
              <w:top w:val="nil"/>
              <w:left w:val="nil"/>
              <w:bottom w:val="single" w:sz="4" w:space="0" w:color="auto"/>
              <w:right w:val="single" w:sz="4" w:space="0" w:color="auto"/>
            </w:tcBorders>
            <w:shd w:val="clear" w:color="auto" w:fill="BFBFBF" w:themeFill="background1" w:themeFillShade="BF"/>
            <w:noWrap/>
            <w:vAlign w:val="bottom"/>
          </w:tcPr>
          <w:p w14:paraId="2C085D3E" w14:textId="0D194941" w:rsidR="00231DB8" w:rsidRPr="00231DB8" w:rsidRDefault="00231DB8" w:rsidP="00231DB8">
            <w:pPr>
              <w:jc w:val="right"/>
              <w:rPr>
                <w:rFonts w:cs="Arial"/>
                <w:b/>
                <w:bCs/>
                <w:sz w:val="22"/>
                <w:szCs w:val="22"/>
                <w:lang w:eastAsia="en-GB"/>
              </w:rPr>
            </w:pPr>
            <w:r w:rsidRPr="00231DB8">
              <w:rPr>
                <w:rFonts w:cs="Arial"/>
                <w:b/>
                <w:bCs/>
                <w:sz w:val="22"/>
                <w:szCs w:val="22"/>
                <w:lang w:eastAsia="en-GB"/>
              </w:rPr>
              <w:t>20,148</w:t>
            </w:r>
          </w:p>
        </w:tc>
        <w:tc>
          <w:tcPr>
            <w:tcW w:w="1699" w:type="dxa"/>
            <w:tcBorders>
              <w:top w:val="nil"/>
              <w:left w:val="nil"/>
              <w:bottom w:val="single" w:sz="4" w:space="0" w:color="auto"/>
              <w:right w:val="single" w:sz="4" w:space="0" w:color="auto"/>
            </w:tcBorders>
            <w:shd w:val="clear" w:color="auto" w:fill="BFBFBF" w:themeFill="background1" w:themeFillShade="BF"/>
            <w:noWrap/>
            <w:vAlign w:val="bottom"/>
          </w:tcPr>
          <w:p w14:paraId="59D82713" w14:textId="5211F71B" w:rsidR="00231DB8" w:rsidRPr="00231DB8" w:rsidRDefault="00231DB8" w:rsidP="00231DB8">
            <w:pPr>
              <w:jc w:val="right"/>
              <w:rPr>
                <w:rFonts w:cs="Arial"/>
                <w:b/>
                <w:bCs/>
                <w:color w:val="FF0000"/>
                <w:sz w:val="22"/>
                <w:szCs w:val="22"/>
                <w:lang w:eastAsia="en-GB"/>
              </w:rPr>
            </w:pPr>
            <w:r w:rsidRPr="00231DB8">
              <w:rPr>
                <w:rFonts w:cs="Arial"/>
                <w:b/>
                <w:bCs/>
                <w:color w:val="FF0000"/>
                <w:sz w:val="22"/>
                <w:szCs w:val="22"/>
                <w:lang w:eastAsia="en-GB"/>
              </w:rPr>
              <w:t>(40)</w:t>
            </w:r>
          </w:p>
        </w:tc>
      </w:tr>
    </w:tbl>
    <w:p w14:paraId="757526A6" w14:textId="77777777" w:rsidR="003E32E0" w:rsidRDefault="003E32E0" w:rsidP="003E32E0">
      <w:pPr>
        <w:pStyle w:val="ListParagraph"/>
      </w:pPr>
    </w:p>
    <w:p w14:paraId="22CA9015" w14:textId="2211767D" w:rsidR="00231DB8" w:rsidRPr="00231DB8" w:rsidRDefault="00231DB8" w:rsidP="00231DB8">
      <w:pPr>
        <w:ind w:left="284"/>
        <w:jc w:val="both"/>
        <w:rPr>
          <w:b/>
          <w:bCs/>
        </w:rPr>
      </w:pPr>
      <w:r w:rsidRPr="00231DB8">
        <w:rPr>
          <w:b/>
          <w:bCs/>
        </w:rPr>
        <w:t>Performance</w:t>
      </w:r>
    </w:p>
    <w:p w14:paraId="0AA4ED8E" w14:textId="484DFA88" w:rsidR="00724C82" w:rsidRDefault="00AB71A9" w:rsidP="00AB71A9">
      <w:pPr>
        <w:numPr>
          <w:ilvl w:val="0"/>
          <w:numId w:val="2"/>
        </w:numPr>
        <w:tabs>
          <w:tab w:val="num" w:pos="284"/>
        </w:tabs>
        <w:ind w:left="284" w:hanging="851"/>
        <w:jc w:val="both"/>
      </w:pPr>
      <w:r w:rsidRPr="00724C82">
        <w:t xml:space="preserve">The table </w:t>
      </w:r>
      <w:r>
        <w:t>below</w:t>
      </w:r>
      <w:r w:rsidRPr="00724C82">
        <w:t xml:space="preserve"> shows tasks</w:t>
      </w:r>
      <w:r w:rsidR="00ED3F31">
        <w:t xml:space="preserve"> / case type</w:t>
      </w:r>
      <w:r w:rsidRPr="00724C82">
        <w:t xml:space="preserve"> completed and outstanding </w:t>
      </w:r>
      <w:r w:rsidR="00ED3F31">
        <w:t>as at</w:t>
      </w:r>
      <w:r w:rsidRPr="00724C82">
        <w:t xml:space="preserve"> 3</w:t>
      </w:r>
      <w:r>
        <w:t>0</w:t>
      </w:r>
      <w:r w:rsidRPr="00724C82">
        <w:t xml:space="preserve"> </w:t>
      </w:r>
      <w:r>
        <w:t>June</w:t>
      </w:r>
      <w:r w:rsidRPr="00724C82">
        <w:t xml:space="preserve"> 2023</w:t>
      </w:r>
      <w:r>
        <w:t xml:space="preserve"> and are categorised as follows:</w:t>
      </w:r>
    </w:p>
    <w:tbl>
      <w:tblPr>
        <w:tblpPr w:leftFromText="180" w:rightFromText="180" w:vertAnchor="text" w:horzAnchor="margin" w:tblpX="-572" w:tblpY="160"/>
        <w:tblW w:w="10060" w:type="dxa"/>
        <w:tblLook w:val="04A0" w:firstRow="1" w:lastRow="0" w:firstColumn="1" w:lastColumn="0" w:noHBand="0" w:noVBand="1"/>
      </w:tblPr>
      <w:tblGrid>
        <w:gridCol w:w="2405"/>
        <w:gridCol w:w="1701"/>
        <w:gridCol w:w="1134"/>
        <w:gridCol w:w="1134"/>
        <w:gridCol w:w="1630"/>
        <w:gridCol w:w="2056"/>
      </w:tblGrid>
      <w:tr w:rsidR="00AB15E8" w:rsidRPr="00C43F54" w14:paraId="13627684" w14:textId="77777777" w:rsidTr="008A49F2">
        <w:trPr>
          <w:trHeight w:val="308"/>
        </w:trPr>
        <w:tc>
          <w:tcPr>
            <w:tcW w:w="24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91DFB43" w14:textId="77777777" w:rsidR="00AB15E8" w:rsidRPr="00C43F54" w:rsidRDefault="00AB15E8" w:rsidP="00AB15E8">
            <w:pPr>
              <w:rPr>
                <w:rFonts w:cs="Arial"/>
                <w:b/>
                <w:bCs/>
                <w:color w:val="000000"/>
                <w:szCs w:val="24"/>
                <w:lang w:eastAsia="en-GB"/>
              </w:rPr>
            </w:pPr>
            <w:r w:rsidRPr="00C43F54">
              <w:rPr>
                <w:rFonts w:cs="Arial"/>
                <w:b/>
                <w:bCs/>
                <w:color w:val="000000"/>
                <w:szCs w:val="24"/>
                <w:lang w:eastAsia="en-GB"/>
              </w:rPr>
              <w:t>Case</w:t>
            </w:r>
            <w:r>
              <w:rPr>
                <w:rFonts w:cs="Arial"/>
                <w:b/>
                <w:bCs/>
                <w:color w:val="000000"/>
                <w:szCs w:val="24"/>
                <w:lang w:eastAsia="en-GB"/>
              </w:rPr>
              <w:t xml:space="preserve"> T</w:t>
            </w:r>
            <w:r w:rsidRPr="00C43F54">
              <w:rPr>
                <w:rFonts w:cs="Arial"/>
                <w:b/>
                <w:bCs/>
                <w:color w:val="000000"/>
                <w:szCs w:val="24"/>
                <w:lang w:eastAsia="en-GB"/>
              </w:rPr>
              <w:t>ype</w:t>
            </w:r>
          </w:p>
        </w:tc>
        <w:tc>
          <w:tcPr>
            <w:tcW w:w="1701" w:type="dxa"/>
            <w:tcBorders>
              <w:top w:val="single" w:sz="4" w:space="0" w:color="auto"/>
              <w:left w:val="nil"/>
              <w:bottom w:val="single" w:sz="4" w:space="0" w:color="auto"/>
              <w:right w:val="single" w:sz="4" w:space="0" w:color="auto"/>
            </w:tcBorders>
            <w:shd w:val="clear" w:color="000000" w:fill="AEAAAA"/>
            <w:noWrap/>
            <w:vAlign w:val="bottom"/>
            <w:hideMark/>
          </w:tcPr>
          <w:p w14:paraId="4E3D00D2" w14:textId="77777777" w:rsidR="00AB15E8" w:rsidRPr="00C43F54" w:rsidRDefault="00AB15E8" w:rsidP="00AB15E8">
            <w:pPr>
              <w:jc w:val="right"/>
              <w:rPr>
                <w:rFonts w:cs="Arial"/>
                <w:b/>
                <w:bCs/>
                <w:color w:val="000000"/>
                <w:szCs w:val="24"/>
                <w:lang w:eastAsia="en-GB"/>
              </w:rPr>
            </w:pPr>
            <w:r w:rsidRPr="00C43F54">
              <w:rPr>
                <w:rFonts w:cs="Arial"/>
                <w:b/>
                <w:bCs/>
                <w:color w:val="000000"/>
                <w:szCs w:val="24"/>
                <w:lang w:eastAsia="en-GB"/>
              </w:rPr>
              <w:t>Outstanding March 2023</w:t>
            </w:r>
          </w:p>
        </w:tc>
        <w:tc>
          <w:tcPr>
            <w:tcW w:w="1134" w:type="dxa"/>
            <w:tcBorders>
              <w:top w:val="single" w:sz="4" w:space="0" w:color="auto"/>
              <w:left w:val="nil"/>
              <w:bottom w:val="single" w:sz="4" w:space="0" w:color="auto"/>
              <w:right w:val="single" w:sz="4" w:space="0" w:color="auto"/>
            </w:tcBorders>
            <w:shd w:val="clear" w:color="000000" w:fill="AEAAAA"/>
            <w:noWrap/>
            <w:vAlign w:val="bottom"/>
            <w:hideMark/>
          </w:tcPr>
          <w:p w14:paraId="15555D12" w14:textId="77777777" w:rsidR="00AB15E8" w:rsidRPr="00C43F54" w:rsidRDefault="00AB15E8" w:rsidP="00AB15E8">
            <w:pPr>
              <w:jc w:val="right"/>
              <w:rPr>
                <w:rFonts w:cs="Arial"/>
                <w:b/>
                <w:bCs/>
                <w:color w:val="000000"/>
                <w:szCs w:val="24"/>
                <w:lang w:eastAsia="en-GB"/>
              </w:rPr>
            </w:pPr>
            <w:r w:rsidRPr="00C43F54">
              <w:rPr>
                <w:rFonts w:cs="Arial"/>
                <w:b/>
                <w:bCs/>
                <w:color w:val="000000"/>
                <w:szCs w:val="24"/>
                <w:lang w:eastAsia="en-GB"/>
              </w:rPr>
              <w:t>New Cases</w:t>
            </w:r>
          </w:p>
        </w:tc>
        <w:tc>
          <w:tcPr>
            <w:tcW w:w="1134" w:type="dxa"/>
            <w:tcBorders>
              <w:top w:val="single" w:sz="4" w:space="0" w:color="auto"/>
              <w:left w:val="nil"/>
              <w:bottom w:val="single" w:sz="4" w:space="0" w:color="auto"/>
              <w:right w:val="single" w:sz="4" w:space="0" w:color="auto"/>
            </w:tcBorders>
            <w:shd w:val="clear" w:color="000000" w:fill="AEAAAA"/>
            <w:noWrap/>
            <w:vAlign w:val="bottom"/>
            <w:hideMark/>
          </w:tcPr>
          <w:p w14:paraId="06E03AC8" w14:textId="77777777" w:rsidR="00AB15E8" w:rsidRPr="00C43F54" w:rsidRDefault="00AB15E8" w:rsidP="00AB15E8">
            <w:pPr>
              <w:jc w:val="right"/>
              <w:rPr>
                <w:rFonts w:cs="Arial"/>
                <w:b/>
                <w:bCs/>
                <w:color w:val="000000"/>
                <w:szCs w:val="24"/>
                <w:lang w:eastAsia="en-GB"/>
              </w:rPr>
            </w:pPr>
            <w:r w:rsidRPr="00C43F54">
              <w:rPr>
                <w:rFonts w:cs="Arial"/>
                <w:b/>
                <w:bCs/>
                <w:color w:val="000000"/>
                <w:szCs w:val="24"/>
                <w:lang w:eastAsia="en-GB"/>
              </w:rPr>
              <w:t>Cases Closed</w:t>
            </w:r>
          </w:p>
        </w:tc>
        <w:tc>
          <w:tcPr>
            <w:tcW w:w="1630" w:type="dxa"/>
            <w:tcBorders>
              <w:top w:val="single" w:sz="4" w:space="0" w:color="auto"/>
              <w:left w:val="nil"/>
              <w:bottom w:val="single" w:sz="4" w:space="0" w:color="auto"/>
              <w:right w:val="single" w:sz="4" w:space="0" w:color="auto"/>
            </w:tcBorders>
            <w:shd w:val="clear" w:color="000000" w:fill="AEAAAA"/>
            <w:noWrap/>
            <w:vAlign w:val="bottom"/>
            <w:hideMark/>
          </w:tcPr>
          <w:p w14:paraId="633BC9D2" w14:textId="77777777" w:rsidR="00AB15E8" w:rsidRPr="00C43F54" w:rsidRDefault="00AB15E8" w:rsidP="00AB15E8">
            <w:pPr>
              <w:jc w:val="right"/>
              <w:rPr>
                <w:rFonts w:cs="Arial"/>
                <w:b/>
                <w:bCs/>
                <w:color w:val="000000"/>
                <w:szCs w:val="24"/>
                <w:lang w:eastAsia="en-GB"/>
              </w:rPr>
            </w:pPr>
            <w:r w:rsidRPr="00C43F54">
              <w:rPr>
                <w:rFonts w:cs="Arial"/>
                <w:b/>
                <w:bCs/>
                <w:color w:val="000000"/>
                <w:szCs w:val="24"/>
                <w:lang w:eastAsia="en-GB"/>
              </w:rPr>
              <w:t>Outstanding June 2023</w:t>
            </w:r>
          </w:p>
        </w:tc>
        <w:tc>
          <w:tcPr>
            <w:tcW w:w="2056" w:type="dxa"/>
            <w:tcBorders>
              <w:top w:val="single" w:sz="4" w:space="0" w:color="auto"/>
              <w:left w:val="nil"/>
              <w:bottom w:val="single" w:sz="4" w:space="0" w:color="auto"/>
              <w:right w:val="single" w:sz="4" w:space="0" w:color="auto"/>
            </w:tcBorders>
            <w:shd w:val="clear" w:color="000000" w:fill="AEAAAA"/>
          </w:tcPr>
          <w:p w14:paraId="07BA5BDA" w14:textId="78A54FC5" w:rsidR="00AB15E8" w:rsidRPr="00C43F54" w:rsidRDefault="008A49F2" w:rsidP="00AB15E8">
            <w:pPr>
              <w:jc w:val="right"/>
              <w:rPr>
                <w:rFonts w:cs="Arial"/>
                <w:b/>
                <w:bCs/>
                <w:color w:val="000000"/>
                <w:szCs w:val="24"/>
                <w:lang w:eastAsia="en-GB"/>
              </w:rPr>
            </w:pPr>
            <w:r>
              <w:rPr>
                <w:rFonts w:cs="Arial"/>
                <w:b/>
                <w:bCs/>
                <w:color w:val="000000"/>
                <w:szCs w:val="24"/>
                <w:lang w:eastAsia="en-GB"/>
              </w:rPr>
              <w:t>% of Completed Case Type</w:t>
            </w:r>
          </w:p>
        </w:tc>
      </w:tr>
      <w:tr w:rsidR="008A49F2" w:rsidRPr="00C43F54" w14:paraId="4C14F571" w14:textId="77777777" w:rsidTr="008A49F2">
        <w:trPr>
          <w:trHeight w:val="308"/>
        </w:trPr>
        <w:tc>
          <w:tcPr>
            <w:tcW w:w="2405" w:type="dxa"/>
            <w:tcBorders>
              <w:top w:val="nil"/>
              <w:left w:val="single" w:sz="4" w:space="0" w:color="auto"/>
              <w:bottom w:val="single" w:sz="4" w:space="0" w:color="auto"/>
              <w:right w:val="single" w:sz="4" w:space="0" w:color="auto"/>
            </w:tcBorders>
            <w:shd w:val="clear" w:color="000000" w:fill="AEAAAA"/>
            <w:noWrap/>
            <w:vAlign w:val="bottom"/>
            <w:hideMark/>
          </w:tcPr>
          <w:p w14:paraId="436961E5" w14:textId="7FE9EF8A" w:rsidR="005C02D3" w:rsidRPr="005C02D3" w:rsidRDefault="005C02D3" w:rsidP="005C02D3">
            <w:pPr>
              <w:rPr>
                <w:rFonts w:cs="Arial"/>
                <w:b/>
                <w:bCs/>
                <w:color w:val="000000"/>
                <w:szCs w:val="24"/>
                <w:lang w:eastAsia="en-GB"/>
              </w:rPr>
            </w:pPr>
            <w:r w:rsidRPr="005C02D3">
              <w:rPr>
                <w:rFonts w:cs="Arial"/>
                <w:color w:val="000000"/>
                <w:szCs w:val="24"/>
              </w:rPr>
              <w:t>Transfer in quote</w:t>
            </w:r>
          </w:p>
        </w:tc>
        <w:tc>
          <w:tcPr>
            <w:tcW w:w="1701" w:type="dxa"/>
            <w:tcBorders>
              <w:top w:val="nil"/>
              <w:left w:val="nil"/>
              <w:bottom w:val="single" w:sz="4" w:space="0" w:color="auto"/>
              <w:right w:val="single" w:sz="4" w:space="0" w:color="auto"/>
            </w:tcBorders>
            <w:shd w:val="clear" w:color="auto" w:fill="auto"/>
            <w:noWrap/>
            <w:vAlign w:val="bottom"/>
            <w:hideMark/>
          </w:tcPr>
          <w:p w14:paraId="3CDD7405" w14:textId="6894D13B" w:rsidR="005C02D3" w:rsidRPr="005C02D3" w:rsidRDefault="005C02D3" w:rsidP="005C02D3">
            <w:pPr>
              <w:jc w:val="right"/>
              <w:rPr>
                <w:rFonts w:cs="Arial"/>
                <w:color w:val="000000"/>
                <w:szCs w:val="24"/>
                <w:lang w:eastAsia="en-GB"/>
              </w:rPr>
            </w:pPr>
            <w:r w:rsidRPr="005C02D3">
              <w:rPr>
                <w:rFonts w:cs="Arial"/>
                <w:color w:val="000000"/>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14:paraId="16B8B7E4" w14:textId="15C54533" w:rsidR="005C02D3" w:rsidRPr="005C02D3" w:rsidRDefault="005C02D3" w:rsidP="005C02D3">
            <w:pPr>
              <w:jc w:val="right"/>
              <w:rPr>
                <w:rFonts w:cs="Arial"/>
                <w:color w:val="000000"/>
                <w:szCs w:val="24"/>
                <w:lang w:eastAsia="en-GB"/>
              </w:rPr>
            </w:pPr>
            <w:r w:rsidRPr="005C02D3">
              <w:rPr>
                <w:rFonts w:cs="Arial"/>
                <w:color w:val="000000"/>
                <w:szCs w:val="24"/>
              </w:rPr>
              <w:t>17</w:t>
            </w:r>
          </w:p>
        </w:tc>
        <w:tc>
          <w:tcPr>
            <w:tcW w:w="1134" w:type="dxa"/>
            <w:tcBorders>
              <w:top w:val="nil"/>
              <w:left w:val="nil"/>
              <w:bottom w:val="single" w:sz="4" w:space="0" w:color="auto"/>
              <w:right w:val="single" w:sz="4" w:space="0" w:color="auto"/>
            </w:tcBorders>
            <w:shd w:val="clear" w:color="auto" w:fill="auto"/>
            <w:noWrap/>
            <w:vAlign w:val="bottom"/>
            <w:hideMark/>
          </w:tcPr>
          <w:p w14:paraId="477351A9" w14:textId="2C0A8BE9" w:rsidR="005C02D3" w:rsidRPr="005C02D3" w:rsidRDefault="005C02D3" w:rsidP="005C02D3">
            <w:pPr>
              <w:jc w:val="right"/>
              <w:rPr>
                <w:rFonts w:cs="Arial"/>
                <w:color w:val="000000"/>
                <w:szCs w:val="24"/>
                <w:lang w:eastAsia="en-GB"/>
              </w:rPr>
            </w:pPr>
            <w:r w:rsidRPr="005C02D3">
              <w:rPr>
                <w:rFonts w:cs="Arial"/>
                <w:color w:val="000000"/>
                <w:szCs w:val="24"/>
              </w:rPr>
              <w:t>17</w:t>
            </w:r>
          </w:p>
        </w:tc>
        <w:tc>
          <w:tcPr>
            <w:tcW w:w="1630" w:type="dxa"/>
            <w:tcBorders>
              <w:top w:val="nil"/>
              <w:left w:val="nil"/>
              <w:bottom w:val="single" w:sz="4" w:space="0" w:color="auto"/>
              <w:right w:val="single" w:sz="4" w:space="0" w:color="auto"/>
            </w:tcBorders>
            <w:shd w:val="clear" w:color="auto" w:fill="auto"/>
            <w:noWrap/>
            <w:vAlign w:val="bottom"/>
            <w:hideMark/>
          </w:tcPr>
          <w:p w14:paraId="2E10A433" w14:textId="20AF094E" w:rsidR="005C02D3" w:rsidRPr="005C02D3" w:rsidRDefault="005C02D3" w:rsidP="005C02D3">
            <w:pPr>
              <w:jc w:val="right"/>
              <w:rPr>
                <w:rFonts w:cs="Arial"/>
                <w:color w:val="000000"/>
                <w:szCs w:val="24"/>
                <w:lang w:eastAsia="en-GB"/>
              </w:rPr>
            </w:pPr>
            <w:r w:rsidRPr="005C02D3">
              <w:rPr>
                <w:rFonts w:cs="Arial"/>
                <w:color w:val="000000"/>
                <w:szCs w:val="24"/>
              </w:rPr>
              <w:t>4</w:t>
            </w:r>
          </w:p>
        </w:tc>
        <w:tc>
          <w:tcPr>
            <w:tcW w:w="2056" w:type="dxa"/>
            <w:tcBorders>
              <w:top w:val="nil"/>
              <w:left w:val="nil"/>
              <w:bottom w:val="single" w:sz="4" w:space="0" w:color="auto"/>
              <w:right w:val="single" w:sz="4" w:space="0" w:color="auto"/>
            </w:tcBorders>
            <w:vAlign w:val="bottom"/>
          </w:tcPr>
          <w:p w14:paraId="4F781045" w14:textId="2CE3D8B1" w:rsidR="005C02D3" w:rsidRPr="005C02D3" w:rsidRDefault="005C02D3" w:rsidP="005C02D3">
            <w:pPr>
              <w:jc w:val="right"/>
              <w:rPr>
                <w:rFonts w:cs="Arial"/>
                <w:color w:val="000000"/>
                <w:szCs w:val="24"/>
                <w:lang w:eastAsia="en-GB"/>
              </w:rPr>
            </w:pPr>
            <w:r w:rsidRPr="005C02D3">
              <w:rPr>
                <w:rFonts w:cs="Arial"/>
                <w:color w:val="000000"/>
                <w:szCs w:val="24"/>
              </w:rPr>
              <w:t>81.0</w:t>
            </w:r>
          </w:p>
        </w:tc>
      </w:tr>
      <w:tr w:rsidR="008A49F2" w:rsidRPr="00C43F54" w14:paraId="52927F34" w14:textId="77777777" w:rsidTr="008A49F2">
        <w:trPr>
          <w:trHeight w:val="308"/>
        </w:trPr>
        <w:tc>
          <w:tcPr>
            <w:tcW w:w="2405" w:type="dxa"/>
            <w:tcBorders>
              <w:top w:val="nil"/>
              <w:left w:val="single" w:sz="4" w:space="0" w:color="auto"/>
              <w:bottom w:val="single" w:sz="4" w:space="0" w:color="auto"/>
              <w:right w:val="single" w:sz="4" w:space="0" w:color="auto"/>
            </w:tcBorders>
            <w:shd w:val="clear" w:color="000000" w:fill="AEAAAA"/>
            <w:noWrap/>
            <w:vAlign w:val="bottom"/>
            <w:hideMark/>
          </w:tcPr>
          <w:p w14:paraId="5B18C9BD" w14:textId="6B844B33" w:rsidR="005C02D3" w:rsidRPr="005C02D3" w:rsidRDefault="005C02D3" w:rsidP="005C02D3">
            <w:pPr>
              <w:rPr>
                <w:rFonts w:cs="Arial"/>
                <w:b/>
                <w:bCs/>
                <w:color w:val="000000"/>
                <w:szCs w:val="24"/>
                <w:lang w:eastAsia="en-GB"/>
              </w:rPr>
            </w:pPr>
            <w:r w:rsidRPr="005C02D3">
              <w:rPr>
                <w:rFonts w:cs="Arial"/>
                <w:color w:val="000000"/>
                <w:szCs w:val="24"/>
              </w:rPr>
              <w:t xml:space="preserve">Transfer out quote </w:t>
            </w:r>
          </w:p>
        </w:tc>
        <w:tc>
          <w:tcPr>
            <w:tcW w:w="1701" w:type="dxa"/>
            <w:tcBorders>
              <w:top w:val="nil"/>
              <w:left w:val="nil"/>
              <w:bottom w:val="single" w:sz="4" w:space="0" w:color="auto"/>
              <w:right w:val="single" w:sz="4" w:space="0" w:color="auto"/>
            </w:tcBorders>
            <w:shd w:val="clear" w:color="auto" w:fill="auto"/>
            <w:noWrap/>
            <w:vAlign w:val="bottom"/>
            <w:hideMark/>
          </w:tcPr>
          <w:p w14:paraId="610041C2" w14:textId="0B10A7C6" w:rsidR="005C02D3" w:rsidRPr="005C02D3" w:rsidRDefault="005C02D3" w:rsidP="005C02D3">
            <w:pPr>
              <w:jc w:val="right"/>
              <w:rPr>
                <w:rFonts w:cs="Arial"/>
                <w:color w:val="000000"/>
                <w:szCs w:val="24"/>
                <w:lang w:eastAsia="en-GB"/>
              </w:rPr>
            </w:pPr>
            <w:r w:rsidRPr="005C02D3">
              <w:rPr>
                <w:rFonts w:cs="Arial"/>
                <w:color w:val="000000"/>
                <w:szCs w:val="24"/>
              </w:rPr>
              <w:t>1</w:t>
            </w:r>
          </w:p>
        </w:tc>
        <w:tc>
          <w:tcPr>
            <w:tcW w:w="1134" w:type="dxa"/>
            <w:tcBorders>
              <w:top w:val="nil"/>
              <w:left w:val="nil"/>
              <w:bottom w:val="single" w:sz="4" w:space="0" w:color="auto"/>
              <w:right w:val="single" w:sz="4" w:space="0" w:color="auto"/>
            </w:tcBorders>
            <w:shd w:val="clear" w:color="auto" w:fill="auto"/>
            <w:noWrap/>
            <w:vAlign w:val="bottom"/>
            <w:hideMark/>
          </w:tcPr>
          <w:p w14:paraId="61E7911B" w14:textId="580768CE" w:rsidR="005C02D3" w:rsidRPr="005C02D3" w:rsidRDefault="005C02D3" w:rsidP="005C02D3">
            <w:pPr>
              <w:jc w:val="right"/>
              <w:rPr>
                <w:rFonts w:cs="Arial"/>
                <w:color w:val="000000"/>
                <w:szCs w:val="24"/>
                <w:lang w:eastAsia="en-GB"/>
              </w:rPr>
            </w:pPr>
            <w:r w:rsidRPr="005C02D3">
              <w:rPr>
                <w:rFonts w:cs="Arial"/>
                <w:color w:val="000000"/>
                <w:szCs w:val="24"/>
              </w:rPr>
              <w:t>73</w:t>
            </w:r>
          </w:p>
        </w:tc>
        <w:tc>
          <w:tcPr>
            <w:tcW w:w="1134" w:type="dxa"/>
            <w:tcBorders>
              <w:top w:val="nil"/>
              <w:left w:val="nil"/>
              <w:bottom w:val="single" w:sz="4" w:space="0" w:color="auto"/>
              <w:right w:val="single" w:sz="4" w:space="0" w:color="auto"/>
            </w:tcBorders>
            <w:shd w:val="clear" w:color="auto" w:fill="auto"/>
            <w:noWrap/>
            <w:vAlign w:val="bottom"/>
            <w:hideMark/>
          </w:tcPr>
          <w:p w14:paraId="0BB6ACA7" w14:textId="278940A6" w:rsidR="005C02D3" w:rsidRPr="005C02D3" w:rsidRDefault="005C02D3" w:rsidP="005C02D3">
            <w:pPr>
              <w:jc w:val="right"/>
              <w:rPr>
                <w:rFonts w:cs="Arial"/>
                <w:color w:val="000000"/>
                <w:szCs w:val="24"/>
                <w:lang w:eastAsia="en-GB"/>
              </w:rPr>
            </w:pPr>
            <w:r w:rsidRPr="005C02D3">
              <w:rPr>
                <w:rFonts w:cs="Arial"/>
                <w:color w:val="000000"/>
                <w:szCs w:val="24"/>
              </w:rPr>
              <w:t>71</w:t>
            </w:r>
          </w:p>
        </w:tc>
        <w:tc>
          <w:tcPr>
            <w:tcW w:w="1630" w:type="dxa"/>
            <w:tcBorders>
              <w:top w:val="nil"/>
              <w:left w:val="nil"/>
              <w:bottom w:val="single" w:sz="4" w:space="0" w:color="auto"/>
              <w:right w:val="single" w:sz="4" w:space="0" w:color="auto"/>
            </w:tcBorders>
            <w:shd w:val="clear" w:color="auto" w:fill="auto"/>
            <w:noWrap/>
            <w:vAlign w:val="bottom"/>
            <w:hideMark/>
          </w:tcPr>
          <w:p w14:paraId="7A0A2F19" w14:textId="2BA645D2" w:rsidR="005C02D3" w:rsidRPr="005C02D3" w:rsidRDefault="005C02D3" w:rsidP="005C02D3">
            <w:pPr>
              <w:jc w:val="right"/>
              <w:rPr>
                <w:rFonts w:cs="Arial"/>
                <w:color w:val="000000"/>
                <w:szCs w:val="24"/>
                <w:lang w:eastAsia="en-GB"/>
              </w:rPr>
            </w:pPr>
            <w:r w:rsidRPr="005C02D3">
              <w:rPr>
                <w:rFonts w:cs="Arial"/>
                <w:color w:val="000000"/>
                <w:szCs w:val="24"/>
              </w:rPr>
              <w:t>3</w:t>
            </w:r>
          </w:p>
        </w:tc>
        <w:tc>
          <w:tcPr>
            <w:tcW w:w="2056" w:type="dxa"/>
            <w:tcBorders>
              <w:top w:val="nil"/>
              <w:left w:val="nil"/>
              <w:bottom w:val="single" w:sz="4" w:space="0" w:color="auto"/>
              <w:right w:val="single" w:sz="4" w:space="0" w:color="auto"/>
            </w:tcBorders>
            <w:vAlign w:val="bottom"/>
          </w:tcPr>
          <w:p w14:paraId="73BDC744" w14:textId="0C8A808E" w:rsidR="005C02D3" w:rsidRPr="005C02D3" w:rsidRDefault="005C02D3" w:rsidP="005C02D3">
            <w:pPr>
              <w:jc w:val="right"/>
              <w:rPr>
                <w:rFonts w:cs="Arial"/>
                <w:color w:val="000000"/>
                <w:szCs w:val="24"/>
                <w:lang w:eastAsia="en-GB"/>
              </w:rPr>
            </w:pPr>
            <w:r w:rsidRPr="005C02D3">
              <w:rPr>
                <w:rFonts w:cs="Arial"/>
                <w:color w:val="000000"/>
                <w:szCs w:val="24"/>
              </w:rPr>
              <w:t>95.9</w:t>
            </w:r>
          </w:p>
        </w:tc>
      </w:tr>
      <w:tr w:rsidR="008A49F2" w:rsidRPr="00C43F54" w14:paraId="51F7685B" w14:textId="77777777" w:rsidTr="008A49F2">
        <w:trPr>
          <w:trHeight w:val="308"/>
        </w:trPr>
        <w:tc>
          <w:tcPr>
            <w:tcW w:w="2405" w:type="dxa"/>
            <w:tcBorders>
              <w:top w:val="nil"/>
              <w:left w:val="single" w:sz="4" w:space="0" w:color="auto"/>
              <w:bottom w:val="single" w:sz="4" w:space="0" w:color="auto"/>
              <w:right w:val="single" w:sz="4" w:space="0" w:color="auto"/>
            </w:tcBorders>
            <w:shd w:val="clear" w:color="000000" w:fill="AEAAAA"/>
            <w:noWrap/>
            <w:vAlign w:val="bottom"/>
            <w:hideMark/>
          </w:tcPr>
          <w:p w14:paraId="5926BF56" w14:textId="1D9127D6" w:rsidR="005C02D3" w:rsidRPr="005C02D3" w:rsidRDefault="005C02D3" w:rsidP="005C02D3">
            <w:pPr>
              <w:rPr>
                <w:rFonts w:cs="Arial"/>
                <w:b/>
                <w:bCs/>
                <w:color w:val="000000"/>
                <w:szCs w:val="24"/>
                <w:lang w:eastAsia="en-GB"/>
              </w:rPr>
            </w:pPr>
            <w:r w:rsidRPr="005C02D3">
              <w:rPr>
                <w:rFonts w:cs="Arial"/>
                <w:color w:val="000000"/>
                <w:szCs w:val="24"/>
              </w:rPr>
              <w:t>Age Estimate</w:t>
            </w:r>
          </w:p>
        </w:tc>
        <w:tc>
          <w:tcPr>
            <w:tcW w:w="1701" w:type="dxa"/>
            <w:tcBorders>
              <w:top w:val="nil"/>
              <w:left w:val="nil"/>
              <w:bottom w:val="single" w:sz="4" w:space="0" w:color="auto"/>
              <w:right w:val="single" w:sz="4" w:space="0" w:color="auto"/>
            </w:tcBorders>
            <w:shd w:val="clear" w:color="auto" w:fill="auto"/>
            <w:noWrap/>
            <w:vAlign w:val="bottom"/>
            <w:hideMark/>
          </w:tcPr>
          <w:p w14:paraId="3E873117" w14:textId="1C6462F9" w:rsidR="005C02D3" w:rsidRPr="005C02D3" w:rsidRDefault="005C02D3" w:rsidP="005C02D3">
            <w:pPr>
              <w:jc w:val="right"/>
              <w:rPr>
                <w:rFonts w:cs="Arial"/>
                <w:color w:val="000000"/>
                <w:szCs w:val="24"/>
                <w:lang w:eastAsia="en-GB"/>
              </w:rPr>
            </w:pPr>
            <w:r w:rsidRPr="005C02D3">
              <w:rPr>
                <w:rFonts w:cs="Arial"/>
                <w:color w:val="000000"/>
                <w:szCs w:val="24"/>
              </w:rPr>
              <w:t>1</w:t>
            </w:r>
          </w:p>
        </w:tc>
        <w:tc>
          <w:tcPr>
            <w:tcW w:w="1134" w:type="dxa"/>
            <w:tcBorders>
              <w:top w:val="nil"/>
              <w:left w:val="nil"/>
              <w:bottom w:val="single" w:sz="4" w:space="0" w:color="auto"/>
              <w:right w:val="single" w:sz="4" w:space="0" w:color="auto"/>
            </w:tcBorders>
            <w:shd w:val="clear" w:color="auto" w:fill="auto"/>
            <w:noWrap/>
            <w:vAlign w:val="bottom"/>
            <w:hideMark/>
          </w:tcPr>
          <w:p w14:paraId="637319F1" w14:textId="6D4393A4" w:rsidR="005C02D3" w:rsidRPr="005C02D3" w:rsidRDefault="005C02D3" w:rsidP="005C02D3">
            <w:pPr>
              <w:jc w:val="right"/>
              <w:rPr>
                <w:rFonts w:cs="Arial"/>
                <w:color w:val="000000"/>
                <w:szCs w:val="24"/>
                <w:lang w:eastAsia="en-GB"/>
              </w:rPr>
            </w:pPr>
            <w:r w:rsidRPr="005C02D3">
              <w:rPr>
                <w:rFonts w:cs="Arial"/>
                <w:color w:val="000000"/>
                <w:szCs w:val="24"/>
              </w:rPr>
              <w:t>63</w:t>
            </w:r>
          </w:p>
        </w:tc>
        <w:tc>
          <w:tcPr>
            <w:tcW w:w="1134" w:type="dxa"/>
            <w:tcBorders>
              <w:top w:val="nil"/>
              <w:left w:val="nil"/>
              <w:bottom w:val="single" w:sz="4" w:space="0" w:color="auto"/>
              <w:right w:val="single" w:sz="4" w:space="0" w:color="auto"/>
            </w:tcBorders>
            <w:shd w:val="clear" w:color="auto" w:fill="auto"/>
            <w:noWrap/>
            <w:vAlign w:val="bottom"/>
            <w:hideMark/>
          </w:tcPr>
          <w:p w14:paraId="51B7238B" w14:textId="64D14CA4" w:rsidR="005C02D3" w:rsidRPr="005C02D3" w:rsidRDefault="005C02D3" w:rsidP="005C02D3">
            <w:pPr>
              <w:jc w:val="right"/>
              <w:rPr>
                <w:rFonts w:cs="Arial"/>
                <w:color w:val="000000"/>
                <w:szCs w:val="24"/>
                <w:lang w:eastAsia="en-GB"/>
              </w:rPr>
            </w:pPr>
            <w:r w:rsidRPr="005C02D3">
              <w:rPr>
                <w:rFonts w:cs="Arial"/>
                <w:color w:val="000000"/>
                <w:szCs w:val="24"/>
              </w:rPr>
              <w:t>63</w:t>
            </w:r>
          </w:p>
        </w:tc>
        <w:tc>
          <w:tcPr>
            <w:tcW w:w="1630" w:type="dxa"/>
            <w:tcBorders>
              <w:top w:val="nil"/>
              <w:left w:val="nil"/>
              <w:bottom w:val="single" w:sz="4" w:space="0" w:color="auto"/>
              <w:right w:val="single" w:sz="4" w:space="0" w:color="auto"/>
            </w:tcBorders>
            <w:shd w:val="clear" w:color="auto" w:fill="auto"/>
            <w:noWrap/>
            <w:vAlign w:val="bottom"/>
            <w:hideMark/>
          </w:tcPr>
          <w:p w14:paraId="79DB6209" w14:textId="6BCF0BF1" w:rsidR="005C02D3" w:rsidRPr="005C02D3" w:rsidRDefault="005C02D3" w:rsidP="005C02D3">
            <w:pPr>
              <w:jc w:val="right"/>
              <w:rPr>
                <w:rFonts w:cs="Arial"/>
                <w:color w:val="000000"/>
                <w:szCs w:val="24"/>
                <w:lang w:eastAsia="en-GB"/>
              </w:rPr>
            </w:pPr>
            <w:r w:rsidRPr="005C02D3">
              <w:rPr>
                <w:rFonts w:cs="Arial"/>
                <w:color w:val="000000"/>
                <w:szCs w:val="24"/>
              </w:rPr>
              <w:t>1</w:t>
            </w:r>
          </w:p>
        </w:tc>
        <w:tc>
          <w:tcPr>
            <w:tcW w:w="2056" w:type="dxa"/>
            <w:tcBorders>
              <w:top w:val="nil"/>
              <w:left w:val="nil"/>
              <w:bottom w:val="single" w:sz="4" w:space="0" w:color="auto"/>
              <w:right w:val="single" w:sz="4" w:space="0" w:color="auto"/>
            </w:tcBorders>
            <w:vAlign w:val="bottom"/>
          </w:tcPr>
          <w:p w14:paraId="704CEB9A" w14:textId="76F90397" w:rsidR="005C02D3" w:rsidRPr="005C02D3" w:rsidRDefault="005C02D3" w:rsidP="005C02D3">
            <w:pPr>
              <w:jc w:val="right"/>
              <w:rPr>
                <w:rFonts w:cs="Arial"/>
                <w:color w:val="000000"/>
                <w:szCs w:val="24"/>
                <w:lang w:eastAsia="en-GB"/>
              </w:rPr>
            </w:pPr>
            <w:r w:rsidRPr="005C02D3">
              <w:rPr>
                <w:rFonts w:cs="Arial"/>
                <w:color w:val="000000"/>
                <w:szCs w:val="24"/>
              </w:rPr>
              <w:t>98.4</w:t>
            </w:r>
          </w:p>
        </w:tc>
      </w:tr>
      <w:tr w:rsidR="008A49F2" w:rsidRPr="00C43F54" w14:paraId="7360B22D" w14:textId="77777777" w:rsidTr="008A49F2">
        <w:trPr>
          <w:trHeight w:val="308"/>
        </w:trPr>
        <w:tc>
          <w:tcPr>
            <w:tcW w:w="2405" w:type="dxa"/>
            <w:tcBorders>
              <w:top w:val="nil"/>
              <w:left w:val="single" w:sz="4" w:space="0" w:color="auto"/>
              <w:bottom w:val="single" w:sz="4" w:space="0" w:color="auto"/>
              <w:right w:val="single" w:sz="4" w:space="0" w:color="auto"/>
            </w:tcBorders>
            <w:shd w:val="clear" w:color="000000" w:fill="AEAAAA"/>
            <w:noWrap/>
            <w:vAlign w:val="bottom"/>
            <w:hideMark/>
          </w:tcPr>
          <w:p w14:paraId="1B6B5D2D" w14:textId="3EA99446" w:rsidR="005C02D3" w:rsidRPr="005C02D3" w:rsidRDefault="005C02D3" w:rsidP="005C02D3">
            <w:pPr>
              <w:rPr>
                <w:rFonts w:cs="Arial"/>
                <w:b/>
                <w:bCs/>
                <w:color w:val="000000"/>
                <w:szCs w:val="24"/>
                <w:lang w:eastAsia="en-GB"/>
              </w:rPr>
            </w:pPr>
            <w:r w:rsidRPr="005C02D3">
              <w:rPr>
                <w:rFonts w:cs="Arial"/>
                <w:color w:val="000000"/>
                <w:szCs w:val="24"/>
              </w:rPr>
              <w:t xml:space="preserve">Retirement Quote </w:t>
            </w:r>
          </w:p>
        </w:tc>
        <w:tc>
          <w:tcPr>
            <w:tcW w:w="1701" w:type="dxa"/>
            <w:tcBorders>
              <w:top w:val="nil"/>
              <w:left w:val="nil"/>
              <w:bottom w:val="single" w:sz="4" w:space="0" w:color="auto"/>
              <w:right w:val="single" w:sz="4" w:space="0" w:color="auto"/>
            </w:tcBorders>
            <w:shd w:val="clear" w:color="auto" w:fill="auto"/>
            <w:noWrap/>
            <w:vAlign w:val="bottom"/>
            <w:hideMark/>
          </w:tcPr>
          <w:p w14:paraId="00E25354" w14:textId="38D12FAA" w:rsidR="005C02D3" w:rsidRPr="005C02D3" w:rsidRDefault="005C02D3" w:rsidP="005C02D3">
            <w:pPr>
              <w:jc w:val="right"/>
              <w:rPr>
                <w:rFonts w:cs="Arial"/>
                <w:color w:val="000000"/>
                <w:szCs w:val="24"/>
                <w:lang w:eastAsia="en-GB"/>
              </w:rPr>
            </w:pPr>
            <w:r w:rsidRPr="005C02D3">
              <w:rPr>
                <w:rFonts w:cs="Arial"/>
                <w:color w:val="000000"/>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14:paraId="05A3780A" w14:textId="4486B670" w:rsidR="005C02D3" w:rsidRPr="005C02D3" w:rsidRDefault="005C02D3" w:rsidP="005C02D3">
            <w:pPr>
              <w:jc w:val="right"/>
              <w:rPr>
                <w:rFonts w:cs="Arial"/>
                <w:color w:val="000000"/>
                <w:szCs w:val="24"/>
                <w:lang w:eastAsia="en-GB"/>
              </w:rPr>
            </w:pPr>
            <w:r w:rsidRPr="005C02D3">
              <w:rPr>
                <w:rFonts w:cs="Arial"/>
                <w:color w:val="000000"/>
                <w:szCs w:val="24"/>
              </w:rPr>
              <w:t>58</w:t>
            </w:r>
          </w:p>
        </w:tc>
        <w:tc>
          <w:tcPr>
            <w:tcW w:w="1134" w:type="dxa"/>
            <w:tcBorders>
              <w:top w:val="nil"/>
              <w:left w:val="nil"/>
              <w:bottom w:val="single" w:sz="4" w:space="0" w:color="auto"/>
              <w:right w:val="single" w:sz="4" w:space="0" w:color="auto"/>
            </w:tcBorders>
            <w:shd w:val="clear" w:color="auto" w:fill="auto"/>
            <w:noWrap/>
            <w:vAlign w:val="bottom"/>
            <w:hideMark/>
          </w:tcPr>
          <w:p w14:paraId="6B40C5CA" w14:textId="64DD8631" w:rsidR="005C02D3" w:rsidRPr="005C02D3" w:rsidRDefault="005C02D3" w:rsidP="005C02D3">
            <w:pPr>
              <w:jc w:val="right"/>
              <w:rPr>
                <w:rFonts w:cs="Arial"/>
                <w:color w:val="000000"/>
                <w:szCs w:val="24"/>
                <w:lang w:eastAsia="en-GB"/>
              </w:rPr>
            </w:pPr>
            <w:r w:rsidRPr="005C02D3">
              <w:rPr>
                <w:rFonts w:cs="Arial"/>
                <w:color w:val="000000"/>
                <w:szCs w:val="24"/>
              </w:rPr>
              <w:t>57</w:t>
            </w:r>
          </w:p>
        </w:tc>
        <w:tc>
          <w:tcPr>
            <w:tcW w:w="1630" w:type="dxa"/>
            <w:tcBorders>
              <w:top w:val="nil"/>
              <w:left w:val="nil"/>
              <w:bottom w:val="single" w:sz="4" w:space="0" w:color="auto"/>
              <w:right w:val="single" w:sz="4" w:space="0" w:color="auto"/>
            </w:tcBorders>
            <w:shd w:val="clear" w:color="auto" w:fill="auto"/>
            <w:noWrap/>
            <w:vAlign w:val="bottom"/>
            <w:hideMark/>
          </w:tcPr>
          <w:p w14:paraId="2EF0B786" w14:textId="297D9E2A" w:rsidR="005C02D3" w:rsidRPr="005C02D3" w:rsidRDefault="005C02D3" w:rsidP="005C02D3">
            <w:pPr>
              <w:jc w:val="right"/>
              <w:rPr>
                <w:rFonts w:cs="Arial"/>
                <w:color w:val="000000"/>
                <w:szCs w:val="24"/>
                <w:lang w:eastAsia="en-GB"/>
              </w:rPr>
            </w:pPr>
            <w:r w:rsidRPr="005C02D3">
              <w:rPr>
                <w:rFonts w:cs="Arial"/>
                <w:color w:val="000000"/>
                <w:szCs w:val="24"/>
              </w:rPr>
              <w:t>5</w:t>
            </w:r>
          </w:p>
        </w:tc>
        <w:tc>
          <w:tcPr>
            <w:tcW w:w="2056" w:type="dxa"/>
            <w:tcBorders>
              <w:top w:val="nil"/>
              <w:left w:val="nil"/>
              <w:bottom w:val="single" w:sz="4" w:space="0" w:color="auto"/>
              <w:right w:val="single" w:sz="4" w:space="0" w:color="auto"/>
            </w:tcBorders>
            <w:vAlign w:val="bottom"/>
          </w:tcPr>
          <w:p w14:paraId="63BD61E0" w14:textId="798B299E" w:rsidR="005C02D3" w:rsidRPr="005C02D3" w:rsidRDefault="005C02D3" w:rsidP="005C02D3">
            <w:pPr>
              <w:jc w:val="right"/>
              <w:rPr>
                <w:rFonts w:cs="Arial"/>
                <w:color w:val="000000"/>
                <w:szCs w:val="24"/>
                <w:lang w:eastAsia="en-GB"/>
              </w:rPr>
            </w:pPr>
            <w:r w:rsidRPr="005C02D3">
              <w:rPr>
                <w:rFonts w:cs="Arial"/>
                <w:color w:val="000000"/>
                <w:szCs w:val="24"/>
              </w:rPr>
              <w:t>91.9</w:t>
            </w:r>
          </w:p>
        </w:tc>
      </w:tr>
      <w:tr w:rsidR="008A49F2" w:rsidRPr="00C43F54" w14:paraId="56D20C98" w14:textId="77777777" w:rsidTr="008A49F2">
        <w:trPr>
          <w:trHeight w:val="308"/>
        </w:trPr>
        <w:tc>
          <w:tcPr>
            <w:tcW w:w="2405" w:type="dxa"/>
            <w:tcBorders>
              <w:top w:val="nil"/>
              <w:left w:val="single" w:sz="4" w:space="0" w:color="auto"/>
              <w:bottom w:val="single" w:sz="4" w:space="0" w:color="auto"/>
              <w:right w:val="single" w:sz="4" w:space="0" w:color="auto"/>
            </w:tcBorders>
            <w:shd w:val="clear" w:color="000000" w:fill="AEAAAA"/>
            <w:noWrap/>
            <w:vAlign w:val="bottom"/>
            <w:hideMark/>
          </w:tcPr>
          <w:p w14:paraId="5FA06673" w14:textId="28A4D29D" w:rsidR="005C02D3" w:rsidRPr="005C02D3" w:rsidRDefault="005C02D3" w:rsidP="005C02D3">
            <w:pPr>
              <w:rPr>
                <w:rFonts w:cs="Arial"/>
                <w:b/>
                <w:bCs/>
                <w:color w:val="000000"/>
                <w:szCs w:val="24"/>
                <w:lang w:eastAsia="en-GB"/>
              </w:rPr>
            </w:pPr>
            <w:r w:rsidRPr="005C02D3">
              <w:rPr>
                <w:rFonts w:cs="Arial"/>
                <w:color w:val="000000"/>
                <w:szCs w:val="24"/>
              </w:rPr>
              <w:t xml:space="preserve">Refund </w:t>
            </w:r>
          </w:p>
        </w:tc>
        <w:tc>
          <w:tcPr>
            <w:tcW w:w="1701" w:type="dxa"/>
            <w:tcBorders>
              <w:top w:val="nil"/>
              <w:left w:val="nil"/>
              <w:bottom w:val="single" w:sz="4" w:space="0" w:color="auto"/>
              <w:right w:val="single" w:sz="4" w:space="0" w:color="auto"/>
            </w:tcBorders>
            <w:shd w:val="clear" w:color="auto" w:fill="auto"/>
            <w:noWrap/>
            <w:vAlign w:val="bottom"/>
            <w:hideMark/>
          </w:tcPr>
          <w:p w14:paraId="27873E98" w14:textId="1F5B1BA0" w:rsidR="005C02D3" w:rsidRPr="005C02D3" w:rsidRDefault="005C02D3" w:rsidP="005C02D3">
            <w:pPr>
              <w:jc w:val="right"/>
              <w:rPr>
                <w:rFonts w:cs="Arial"/>
                <w:color w:val="000000"/>
                <w:szCs w:val="24"/>
                <w:lang w:eastAsia="en-GB"/>
              </w:rPr>
            </w:pPr>
            <w:r w:rsidRPr="005C02D3">
              <w:rPr>
                <w:rFonts w:cs="Arial"/>
                <w:color w:val="000000"/>
                <w:szCs w:val="24"/>
              </w:rPr>
              <w:t>1</w:t>
            </w:r>
          </w:p>
        </w:tc>
        <w:tc>
          <w:tcPr>
            <w:tcW w:w="1134" w:type="dxa"/>
            <w:tcBorders>
              <w:top w:val="nil"/>
              <w:left w:val="nil"/>
              <w:bottom w:val="single" w:sz="4" w:space="0" w:color="auto"/>
              <w:right w:val="single" w:sz="4" w:space="0" w:color="auto"/>
            </w:tcBorders>
            <w:shd w:val="clear" w:color="auto" w:fill="auto"/>
            <w:noWrap/>
            <w:vAlign w:val="bottom"/>
            <w:hideMark/>
          </w:tcPr>
          <w:p w14:paraId="0A790784" w14:textId="71735C68" w:rsidR="005C02D3" w:rsidRPr="005C02D3" w:rsidRDefault="005C02D3" w:rsidP="005C02D3">
            <w:pPr>
              <w:jc w:val="right"/>
              <w:rPr>
                <w:rFonts w:cs="Arial"/>
                <w:color w:val="000000"/>
                <w:szCs w:val="24"/>
                <w:lang w:eastAsia="en-GB"/>
              </w:rPr>
            </w:pPr>
            <w:r w:rsidRPr="005C02D3">
              <w:rPr>
                <w:rFonts w:cs="Arial"/>
                <w:color w:val="000000"/>
                <w:szCs w:val="24"/>
              </w:rPr>
              <w:t>17</w:t>
            </w:r>
          </w:p>
        </w:tc>
        <w:tc>
          <w:tcPr>
            <w:tcW w:w="1134" w:type="dxa"/>
            <w:tcBorders>
              <w:top w:val="nil"/>
              <w:left w:val="nil"/>
              <w:bottom w:val="single" w:sz="4" w:space="0" w:color="auto"/>
              <w:right w:val="single" w:sz="4" w:space="0" w:color="auto"/>
            </w:tcBorders>
            <w:shd w:val="clear" w:color="auto" w:fill="auto"/>
            <w:noWrap/>
            <w:vAlign w:val="bottom"/>
            <w:hideMark/>
          </w:tcPr>
          <w:p w14:paraId="60221291" w14:textId="11945BF1" w:rsidR="005C02D3" w:rsidRPr="005C02D3" w:rsidRDefault="005C02D3" w:rsidP="005C02D3">
            <w:pPr>
              <w:jc w:val="right"/>
              <w:rPr>
                <w:rFonts w:cs="Arial"/>
                <w:color w:val="000000"/>
                <w:szCs w:val="24"/>
                <w:lang w:eastAsia="en-GB"/>
              </w:rPr>
            </w:pPr>
            <w:r w:rsidRPr="005C02D3">
              <w:rPr>
                <w:rFonts w:cs="Arial"/>
                <w:color w:val="000000"/>
                <w:szCs w:val="24"/>
              </w:rPr>
              <w:t>17</w:t>
            </w:r>
          </w:p>
        </w:tc>
        <w:tc>
          <w:tcPr>
            <w:tcW w:w="1630" w:type="dxa"/>
            <w:tcBorders>
              <w:top w:val="nil"/>
              <w:left w:val="nil"/>
              <w:bottom w:val="single" w:sz="4" w:space="0" w:color="auto"/>
              <w:right w:val="single" w:sz="4" w:space="0" w:color="auto"/>
            </w:tcBorders>
            <w:shd w:val="clear" w:color="auto" w:fill="auto"/>
            <w:noWrap/>
            <w:vAlign w:val="bottom"/>
            <w:hideMark/>
          </w:tcPr>
          <w:p w14:paraId="162F26AF" w14:textId="731B8DFD" w:rsidR="005C02D3" w:rsidRPr="005C02D3" w:rsidRDefault="005C02D3" w:rsidP="005C02D3">
            <w:pPr>
              <w:jc w:val="right"/>
              <w:rPr>
                <w:rFonts w:cs="Arial"/>
                <w:color w:val="000000"/>
                <w:szCs w:val="24"/>
                <w:lang w:eastAsia="en-GB"/>
              </w:rPr>
            </w:pPr>
            <w:r w:rsidRPr="005C02D3">
              <w:rPr>
                <w:rFonts w:cs="Arial"/>
                <w:color w:val="000000"/>
                <w:szCs w:val="24"/>
              </w:rPr>
              <w:t>1</w:t>
            </w:r>
          </w:p>
        </w:tc>
        <w:tc>
          <w:tcPr>
            <w:tcW w:w="2056" w:type="dxa"/>
            <w:tcBorders>
              <w:top w:val="nil"/>
              <w:left w:val="nil"/>
              <w:bottom w:val="single" w:sz="4" w:space="0" w:color="auto"/>
              <w:right w:val="single" w:sz="4" w:space="0" w:color="auto"/>
            </w:tcBorders>
            <w:vAlign w:val="bottom"/>
          </w:tcPr>
          <w:p w14:paraId="29EBD188" w14:textId="7690DB12" w:rsidR="005C02D3" w:rsidRPr="005C02D3" w:rsidRDefault="005C02D3" w:rsidP="005C02D3">
            <w:pPr>
              <w:jc w:val="right"/>
              <w:rPr>
                <w:rFonts w:cs="Arial"/>
                <w:color w:val="000000"/>
                <w:szCs w:val="24"/>
                <w:lang w:eastAsia="en-GB"/>
              </w:rPr>
            </w:pPr>
            <w:r w:rsidRPr="005C02D3">
              <w:rPr>
                <w:rFonts w:cs="Arial"/>
                <w:color w:val="000000"/>
                <w:szCs w:val="24"/>
              </w:rPr>
              <w:t>94.4</w:t>
            </w:r>
          </w:p>
        </w:tc>
      </w:tr>
      <w:tr w:rsidR="008A49F2" w:rsidRPr="00C43F54" w14:paraId="5BCCFB26" w14:textId="77777777" w:rsidTr="008A49F2">
        <w:trPr>
          <w:trHeight w:val="308"/>
        </w:trPr>
        <w:tc>
          <w:tcPr>
            <w:tcW w:w="2405" w:type="dxa"/>
            <w:tcBorders>
              <w:top w:val="nil"/>
              <w:left w:val="single" w:sz="4" w:space="0" w:color="auto"/>
              <w:bottom w:val="single" w:sz="4" w:space="0" w:color="auto"/>
              <w:right w:val="single" w:sz="4" w:space="0" w:color="auto"/>
            </w:tcBorders>
            <w:shd w:val="clear" w:color="000000" w:fill="AEAAAA"/>
            <w:noWrap/>
            <w:vAlign w:val="bottom"/>
            <w:hideMark/>
          </w:tcPr>
          <w:p w14:paraId="533A1A47" w14:textId="32C81DDE" w:rsidR="005C02D3" w:rsidRPr="005C02D3" w:rsidRDefault="005C02D3" w:rsidP="005C02D3">
            <w:pPr>
              <w:rPr>
                <w:rFonts w:cs="Arial"/>
                <w:b/>
                <w:bCs/>
                <w:color w:val="000000"/>
                <w:szCs w:val="24"/>
                <w:lang w:eastAsia="en-GB"/>
              </w:rPr>
            </w:pPr>
            <w:r w:rsidRPr="005C02D3">
              <w:rPr>
                <w:rFonts w:cs="Arial"/>
                <w:color w:val="000000"/>
                <w:szCs w:val="24"/>
              </w:rPr>
              <w:t xml:space="preserve">Death </w:t>
            </w:r>
          </w:p>
        </w:tc>
        <w:tc>
          <w:tcPr>
            <w:tcW w:w="1701" w:type="dxa"/>
            <w:tcBorders>
              <w:top w:val="nil"/>
              <w:left w:val="nil"/>
              <w:bottom w:val="single" w:sz="4" w:space="0" w:color="auto"/>
              <w:right w:val="single" w:sz="4" w:space="0" w:color="auto"/>
            </w:tcBorders>
            <w:shd w:val="clear" w:color="auto" w:fill="auto"/>
            <w:noWrap/>
            <w:vAlign w:val="bottom"/>
            <w:hideMark/>
          </w:tcPr>
          <w:p w14:paraId="770F07AE" w14:textId="13E78C0F" w:rsidR="005C02D3" w:rsidRPr="005C02D3" w:rsidRDefault="005C02D3" w:rsidP="005C02D3">
            <w:pPr>
              <w:jc w:val="right"/>
              <w:rPr>
                <w:rFonts w:cs="Arial"/>
                <w:color w:val="000000"/>
                <w:szCs w:val="24"/>
                <w:lang w:eastAsia="en-GB"/>
              </w:rPr>
            </w:pPr>
            <w:r w:rsidRPr="005C02D3">
              <w:rPr>
                <w:rFonts w:cs="Arial"/>
                <w:color w:val="000000"/>
                <w:szCs w:val="24"/>
              </w:rPr>
              <w:t>1</w:t>
            </w:r>
          </w:p>
        </w:tc>
        <w:tc>
          <w:tcPr>
            <w:tcW w:w="1134" w:type="dxa"/>
            <w:tcBorders>
              <w:top w:val="nil"/>
              <w:left w:val="nil"/>
              <w:bottom w:val="single" w:sz="4" w:space="0" w:color="auto"/>
              <w:right w:val="single" w:sz="4" w:space="0" w:color="auto"/>
            </w:tcBorders>
            <w:shd w:val="clear" w:color="auto" w:fill="auto"/>
            <w:noWrap/>
            <w:vAlign w:val="bottom"/>
            <w:hideMark/>
          </w:tcPr>
          <w:p w14:paraId="16A6A203" w14:textId="2EB04BE6" w:rsidR="005C02D3" w:rsidRPr="005C02D3" w:rsidRDefault="005C02D3" w:rsidP="005C02D3">
            <w:pPr>
              <w:jc w:val="right"/>
              <w:rPr>
                <w:rFonts w:cs="Arial"/>
                <w:color w:val="000000"/>
                <w:szCs w:val="24"/>
                <w:lang w:eastAsia="en-GB"/>
              </w:rPr>
            </w:pPr>
            <w:r w:rsidRPr="005C02D3">
              <w:rPr>
                <w:rFonts w:cs="Arial"/>
                <w:color w:val="000000"/>
                <w:szCs w:val="24"/>
              </w:rPr>
              <w:t>48</w:t>
            </w:r>
          </w:p>
        </w:tc>
        <w:tc>
          <w:tcPr>
            <w:tcW w:w="1134" w:type="dxa"/>
            <w:tcBorders>
              <w:top w:val="nil"/>
              <w:left w:val="nil"/>
              <w:bottom w:val="single" w:sz="4" w:space="0" w:color="auto"/>
              <w:right w:val="single" w:sz="4" w:space="0" w:color="auto"/>
            </w:tcBorders>
            <w:shd w:val="clear" w:color="auto" w:fill="auto"/>
            <w:noWrap/>
            <w:vAlign w:val="bottom"/>
            <w:hideMark/>
          </w:tcPr>
          <w:p w14:paraId="11A2140D" w14:textId="46A91E07" w:rsidR="005C02D3" w:rsidRPr="005C02D3" w:rsidRDefault="005C02D3" w:rsidP="005C02D3">
            <w:pPr>
              <w:jc w:val="right"/>
              <w:rPr>
                <w:rFonts w:cs="Arial"/>
                <w:color w:val="000000"/>
                <w:szCs w:val="24"/>
                <w:lang w:eastAsia="en-GB"/>
              </w:rPr>
            </w:pPr>
            <w:r w:rsidRPr="005C02D3">
              <w:rPr>
                <w:rFonts w:cs="Arial"/>
                <w:color w:val="000000"/>
                <w:szCs w:val="24"/>
              </w:rPr>
              <w:t>47</w:t>
            </w:r>
          </w:p>
        </w:tc>
        <w:tc>
          <w:tcPr>
            <w:tcW w:w="1630" w:type="dxa"/>
            <w:tcBorders>
              <w:top w:val="nil"/>
              <w:left w:val="nil"/>
              <w:bottom w:val="single" w:sz="4" w:space="0" w:color="auto"/>
              <w:right w:val="single" w:sz="4" w:space="0" w:color="auto"/>
            </w:tcBorders>
            <w:shd w:val="clear" w:color="auto" w:fill="auto"/>
            <w:noWrap/>
            <w:vAlign w:val="bottom"/>
            <w:hideMark/>
          </w:tcPr>
          <w:p w14:paraId="11E7EABA" w14:textId="35A54F82" w:rsidR="005C02D3" w:rsidRPr="005C02D3" w:rsidRDefault="005C02D3" w:rsidP="005C02D3">
            <w:pPr>
              <w:jc w:val="right"/>
              <w:rPr>
                <w:rFonts w:cs="Arial"/>
                <w:color w:val="000000"/>
                <w:szCs w:val="24"/>
                <w:lang w:eastAsia="en-GB"/>
              </w:rPr>
            </w:pPr>
            <w:r w:rsidRPr="005C02D3">
              <w:rPr>
                <w:rFonts w:cs="Arial"/>
                <w:color w:val="000000"/>
                <w:szCs w:val="24"/>
              </w:rPr>
              <w:t>2</w:t>
            </w:r>
          </w:p>
        </w:tc>
        <w:tc>
          <w:tcPr>
            <w:tcW w:w="2056" w:type="dxa"/>
            <w:tcBorders>
              <w:top w:val="nil"/>
              <w:left w:val="nil"/>
              <w:bottom w:val="single" w:sz="4" w:space="0" w:color="auto"/>
              <w:right w:val="single" w:sz="4" w:space="0" w:color="auto"/>
            </w:tcBorders>
            <w:vAlign w:val="bottom"/>
          </w:tcPr>
          <w:p w14:paraId="0924974C" w14:textId="21E80D3D" w:rsidR="005C02D3" w:rsidRPr="005C02D3" w:rsidRDefault="005C02D3" w:rsidP="005C02D3">
            <w:pPr>
              <w:jc w:val="right"/>
              <w:rPr>
                <w:rFonts w:cs="Arial"/>
                <w:color w:val="000000"/>
                <w:szCs w:val="24"/>
                <w:lang w:eastAsia="en-GB"/>
              </w:rPr>
            </w:pPr>
            <w:r w:rsidRPr="005C02D3">
              <w:rPr>
                <w:rFonts w:cs="Arial"/>
                <w:color w:val="000000"/>
                <w:szCs w:val="24"/>
              </w:rPr>
              <w:t>95.9</w:t>
            </w:r>
          </w:p>
        </w:tc>
      </w:tr>
      <w:tr w:rsidR="008A49F2" w:rsidRPr="00C43F54" w14:paraId="2BDD8EE8" w14:textId="77777777" w:rsidTr="008A49F2">
        <w:trPr>
          <w:trHeight w:val="308"/>
        </w:trPr>
        <w:tc>
          <w:tcPr>
            <w:tcW w:w="2405" w:type="dxa"/>
            <w:tcBorders>
              <w:top w:val="nil"/>
              <w:left w:val="single" w:sz="4" w:space="0" w:color="auto"/>
              <w:bottom w:val="single" w:sz="4" w:space="0" w:color="auto"/>
              <w:right w:val="single" w:sz="4" w:space="0" w:color="auto"/>
            </w:tcBorders>
            <w:shd w:val="clear" w:color="000000" w:fill="AEAAAA"/>
            <w:noWrap/>
            <w:vAlign w:val="bottom"/>
            <w:hideMark/>
          </w:tcPr>
          <w:p w14:paraId="61CBD804" w14:textId="55A0F9AD" w:rsidR="005C02D3" w:rsidRPr="005C02D3" w:rsidRDefault="005C02D3" w:rsidP="005C02D3">
            <w:pPr>
              <w:rPr>
                <w:rFonts w:cs="Arial"/>
                <w:b/>
                <w:bCs/>
                <w:color w:val="000000"/>
                <w:szCs w:val="24"/>
                <w:lang w:eastAsia="en-GB"/>
              </w:rPr>
            </w:pPr>
            <w:r w:rsidRPr="005C02D3">
              <w:rPr>
                <w:rFonts w:cs="Arial"/>
                <w:color w:val="000000"/>
                <w:szCs w:val="24"/>
              </w:rPr>
              <w:t xml:space="preserve">Actual transfer in </w:t>
            </w:r>
          </w:p>
        </w:tc>
        <w:tc>
          <w:tcPr>
            <w:tcW w:w="1701" w:type="dxa"/>
            <w:tcBorders>
              <w:top w:val="nil"/>
              <w:left w:val="nil"/>
              <w:bottom w:val="single" w:sz="4" w:space="0" w:color="auto"/>
              <w:right w:val="single" w:sz="4" w:space="0" w:color="auto"/>
            </w:tcBorders>
            <w:shd w:val="clear" w:color="auto" w:fill="auto"/>
            <w:noWrap/>
            <w:vAlign w:val="bottom"/>
            <w:hideMark/>
          </w:tcPr>
          <w:p w14:paraId="642AEAEA" w14:textId="15FBC80A" w:rsidR="005C02D3" w:rsidRPr="005C02D3" w:rsidRDefault="005C02D3" w:rsidP="005C02D3">
            <w:pPr>
              <w:jc w:val="right"/>
              <w:rPr>
                <w:rFonts w:cs="Arial"/>
                <w:color w:val="000000"/>
                <w:szCs w:val="24"/>
                <w:lang w:eastAsia="en-GB"/>
              </w:rPr>
            </w:pPr>
            <w:r w:rsidRPr="005C02D3">
              <w:rPr>
                <w:rFonts w:cs="Arial"/>
                <w:color w:val="000000"/>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14:paraId="5D830E90" w14:textId="6B766C90" w:rsidR="005C02D3" w:rsidRPr="005C02D3" w:rsidRDefault="005C02D3" w:rsidP="005C02D3">
            <w:pPr>
              <w:jc w:val="right"/>
              <w:rPr>
                <w:rFonts w:cs="Arial"/>
                <w:color w:val="000000"/>
                <w:szCs w:val="24"/>
                <w:lang w:eastAsia="en-GB"/>
              </w:rPr>
            </w:pPr>
            <w:r w:rsidRPr="005C02D3">
              <w:rPr>
                <w:rFonts w:cs="Arial"/>
                <w:color w:val="000000"/>
                <w:szCs w:val="2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07D29850" w14:textId="75BEDEFB" w:rsidR="005C02D3" w:rsidRPr="005C02D3" w:rsidRDefault="005C02D3" w:rsidP="005C02D3">
            <w:pPr>
              <w:jc w:val="right"/>
              <w:rPr>
                <w:rFonts w:cs="Arial"/>
                <w:color w:val="000000"/>
                <w:szCs w:val="24"/>
                <w:lang w:eastAsia="en-GB"/>
              </w:rPr>
            </w:pPr>
            <w:r w:rsidRPr="005C02D3">
              <w:rPr>
                <w:rFonts w:cs="Arial"/>
                <w:color w:val="000000"/>
                <w:szCs w:val="24"/>
              </w:rPr>
              <w:t>20</w:t>
            </w:r>
          </w:p>
        </w:tc>
        <w:tc>
          <w:tcPr>
            <w:tcW w:w="1630" w:type="dxa"/>
            <w:tcBorders>
              <w:top w:val="nil"/>
              <w:left w:val="nil"/>
              <w:bottom w:val="single" w:sz="4" w:space="0" w:color="auto"/>
              <w:right w:val="single" w:sz="4" w:space="0" w:color="auto"/>
            </w:tcBorders>
            <w:shd w:val="clear" w:color="auto" w:fill="auto"/>
            <w:noWrap/>
            <w:vAlign w:val="bottom"/>
            <w:hideMark/>
          </w:tcPr>
          <w:p w14:paraId="3529DB0D" w14:textId="7B44C4AD" w:rsidR="005C02D3" w:rsidRPr="005C02D3" w:rsidRDefault="005C02D3" w:rsidP="005C02D3">
            <w:pPr>
              <w:jc w:val="right"/>
              <w:rPr>
                <w:rFonts w:cs="Arial"/>
                <w:color w:val="000000"/>
                <w:szCs w:val="24"/>
                <w:lang w:eastAsia="en-GB"/>
              </w:rPr>
            </w:pPr>
            <w:r w:rsidRPr="005C02D3">
              <w:rPr>
                <w:rFonts w:cs="Arial"/>
                <w:color w:val="000000"/>
                <w:szCs w:val="24"/>
              </w:rPr>
              <w:t>2</w:t>
            </w:r>
          </w:p>
        </w:tc>
        <w:tc>
          <w:tcPr>
            <w:tcW w:w="2056" w:type="dxa"/>
            <w:tcBorders>
              <w:top w:val="nil"/>
              <w:left w:val="nil"/>
              <w:bottom w:val="single" w:sz="4" w:space="0" w:color="auto"/>
              <w:right w:val="single" w:sz="4" w:space="0" w:color="auto"/>
            </w:tcBorders>
            <w:vAlign w:val="bottom"/>
          </w:tcPr>
          <w:p w14:paraId="21C55F16" w14:textId="183A1A62" w:rsidR="005C02D3" w:rsidRPr="005C02D3" w:rsidRDefault="005C02D3" w:rsidP="005C02D3">
            <w:pPr>
              <w:jc w:val="right"/>
              <w:rPr>
                <w:rFonts w:cs="Arial"/>
                <w:color w:val="000000"/>
                <w:szCs w:val="24"/>
                <w:lang w:eastAsia="en-GB"/>
              </w:rPr>
            </w:pPr>
            <w:r w:rsidRPr="005C02D3">
              <w:rPr>
                <w:rFonts w:cs="Arial"/>
                <w:color w:val="000000"/>
                <w:szCs w:val="24"/>
              </w:rPr>
              <w:t>90.9</w:t>
            </w:r>
          </w:p>
        </w:tc>
      </w:tr>
      <w:tr w:rsidR="008A49F2" w:rsidRPr="00C43F54" w14:paraId="14626013" w14:textId="77777777" w:rsidTr="008A49F2">
        <w:trPr>
          <w:trHeight w:val="308"/>
        </w:trPr>
        <w:tc>
          <w:tcPr>
            <w:tcW w:w="2405" w:type="dxa"/>
            <w:tcBorders>
              <w:top w:val="nil"/>
              <w:left w:val="single" w:sz="4" w:space="0" w:color="auto"/>
              <w:bottom w:val="single" w:sz="4" w:space="0" w:color="auto"/>
              <w:right w:val="single" w:sz="4" w:space="0" w:color="auto"/>
            </w:tcBorders>
            <w:shd w:val="clear" w:color="000000" w:fill="AEAAAA"/>
            <w:noWrap/>
            <w:vAlign w:val="bottom"/>
            <w:hideMark/>
          </w:tcPr>
          <w:p w14:paraId="6DC031CC" w14:textId="591D088D" w:rsidR="005C02D3" w:rsidRPr="005C02D3" w:rsidRDefault="005C02D3" w:rsidP="005C02D3">
            <w:pPr>
              <w:rPr>
                <w:rFonts w:cs="Arial"/>
                <w:b/>
                <w:bCs/>
                <w:color w:val="000000"/>
                <w:szCs w:val="24"/>
                <w:lang w:eastAsia="en-GB"/>
              </w:rPr>
            </w:pPr>
            <w:r w:rsidRPr="005C02D3">
              <w:rPr>
                <w:rFonts w:cs="Arial"/>
                <w:color w:val="000000"/>
                <w:szCs w:val="24"/>
              </w:rPr>
              <w:t xml:space="preserve">Actual transfer out </w:t>
            </w:r>
          </w:p>
        </w:tc>
        <w:tc>
          <w:tcPr>
            <w:tcW w:w="1701" w:type="dxa"/>
            <w:tcBorders>
              <w:top w:val="nil"/>
              <w:left w:val="nil"/>
              <w:bottom w:val="single" w:sz="4" w:space="0" w:color="auto"/>
              <w:right w:val="single" w:sz="4" w:space="0" w:color="auto"/>
            </w:tcBorders>
            <w:shd w:val="clear" w:color="auto" w:fill="auto"/>
            <w:noWrap/>
            <w:vAlign w:val="bottom"/>
            <w:hideMark/>
          </w:tcPr>
          <w:p w14:paraId="01433EF2" w14:textId="63E345E0" w:rsidR="005C02D3" w:rsidRPr="005C02D3" w:rsidRDefault="005C02D3" w:rsidP="005C02D3">
            <w:pPr>
              <w:jc w:val="right"/>
              <w:rPr>
                <w:rFonts w:cs="Arial"/>
                <w:color w:val="000000"/>
                <w:szCs w:val="24"/>
                <w:lang w:eastAsia="en-GB"/>
              </w:rPr>
            </w:pPr>
            <w:r w:rsidRPr="005C02D3">
              <w:rPr>
                <w:rFonts w:cs="Arial"/>
                <w:color w:val="000000"/>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BD289AE" w14:textId="12B18A96" w:rsidR="005C02D3" w:rsidRPr="005C02D3" w:rsidRDefault="005C02D3" w:rsidP="005C02D3">
            <w:pPr>
              <w:jc w:val="right"/>
              <w:rPr>
                <w:rFonts w:cs="Arial"/>
                <w:color w:val="000000"/>
                <w:szCs w:val="24"/>
                <w:lang w:eastAsia="en-GB"/>
              </w:rPr>
            </w:pPr>
            <w:r w:rsidRPr="005C02D3">
              <w:rPr>
                <w:rFonts w:cs="Arial"/>
                <w:color w:val="000000"/>
                <w:szCs w:val="24"/>
              </w:rPr>
              <w:t>32</w:t>
            </w:r>
          </w:p>
        </w:tc>
        <w:tc>
          <w:tcPr>
            <w:tcW w:w="1134" w:type="dxa"/>
            <w:tcBorders>
              <w:top w:val="nil"/>
              <w:left w:val="nil"/>
              <w:bottom w:val="single" w:sz="4" w:space="0" w:color="auto"/>
              <w:right w:val="single" w:sz="4" w:space="0" w:color="auto"/>
            </w:tcBorders>
            <w:shd w:val="clear" w:color="auto" w:fill="auto"/>
            <w:noWrap/>
            <w:vAlign w:val="bottom"/>
            <w:hideMark/>
          </w:tcPr>
          <w:p w14:paraId="26F8A1CB" w14:textId="64D4FB70" w:rsidR="005C02D3" w:rsidRPr="005C02D3" w:rsidRDefault="005C02D3" w:rsidP="005C02D3">
            <w:pPr>
              <w:jc w:val="right"/>
              <w:rPr>
                <w:rFonts w:cs="Arial"/>
                <w:color w:val="000000"/>
                <w:szCs w:val="24"/>
                <w:lang w:eastAsia="en-GB"/>
              </w:rPr>
            </w:pPr>
            <w:r w:rsidRPr="005C02D3">
              <w:rPr>
                <w:rFonts w:cs="Arial"/>
                <w:color w:val="000000"/>
                <w:szCs w:val="24"/>
              </w:rPr>
              <w:t>29</w:t>
            </w:r>
          </w:p>
        </w:tc>
        <w:tc>
          <w:tcPr>
            <w:tcW w:w="1630" w:type="dxa"/>
            <w:tcBorders>
              <w:top w:val="nil"/>
              <w:left w:val="nil"/>
              <w:bottom w:val="single" w:sz="4" w:space="0" w:color="auto"/>
              <w:right w:val="single" w:sz="4" w:space="0" w:color="auto"/>
            </w:tcBorders>
            <w:shd w:val="clear" w:color="auto" w:fill="auto"/>
            <w:noWrap/>
            <w:vAlign w:val="bottom"/>
            <w:hideMark/>
          </w:tcPr>
          <w:p w14:paraId="2B63B5F6" w14:textId="0B6FD794" w:rsidR="005C02D3" w:rsidRPr="005C02D3" w:rsidRDefault="005C02D3" w:rsidP="005C02D3">
            <w:pPr>
              <w:jc w:val="right"/>
              <w:rPr>
                <w:rFonts w:cs="Arial"/>
                <w:color w:val="000000"/>
                <w:szCs w:val="24"/>
                <w:lang w:eastAsia="en-GB"/>
              </w:rPr>
            </w:pPr>
            <w:r w:rsidRPr="005C02D3">
              <w:rPr>
                <w:rFonts w:cs="Arial"/>
                <w:color w:val="000000"/>
                <w:szCs w:val="24"/>
              </w:rPr>
              <w:t>3</w:t>
            </w:r>
          </w:p>
        </w:tc>
        <w:tc>
          <w:tcPr>
            <w:tcW w:w="2056" w:type="dxa"/>
            <w:tcBorders>
              <w:top w:val="nil"/>
              <w:left w:val="nil"/>
              <w:bottom w:val="single" w:sz="4" w:space="0" w:color="auto"/>
              <w:right w:val="single" w:sz="4" w:space="0" w:color="auto"/>
            </w:tcBorders>
            <w:vAlign w:val="bottom"/>
          </w:tcPr>
          <w:p w14:paraId="2B486BF5" w14:textId="5CADEE01" w:rsidR="005C02D3" w:rsidRPr="005C02D3" w:rsidRDefault="005C02D3" w:rsidP="005C02D3">
            <w:pPr>
              <w:jc w:val="right"/>
              <w:rPr>
                <w:rFonts w:cs="Arial"/>
                <w:color w:val="000000"/>
                <w:szCs w:val="24"/>
                <w:lang w:eastAsia="en-GB"/>
              </w:rPr>
            </w:pPr>
            <w:r w:rsidRPr="005C02D3">
              <w:rPr>
                <w:rFonts w:cs="Arial"/>
                <w:color w:val="000000"/>
                <w:szCs w:val="24"/>
              </w:rPr>
              <w:t>90.6</w:t>
            </w:r>
          </w:p>
        </w:tc>
      </w:tr>
      <w:tr w:rsidR="008A49F2" w:rsidRPr="00C43F54" w14:paraId="115BD008" w14:textId="77777777" w:rsidTr="00B06749">
        <w:trPr>
          <w:trHeight w:val="308"/>
        </w:trPr>
        <w:tc>
          <w:tcPr>
            <w:tcW w:w="2405" w:type="dxa"/>
            <w:tcBorders>
              <w:top w:val="nil"/>
              <w:left w:val="single" w:sz="4" w:space="0" w:color="auto"/>
              <w:bottom w:val="single" w:sz="4" w:space="0" w:color="auto"/>
              <w:right w:val="single" w:sz="4" w:space="0" w:color="auto"/>
            </w:tcBorders>
            <w:shd w:val="clear" w:color="000000" w:fill="AEAAAA"/>
            <w:noWrap/>
            <w:vAlign w:val="bottom"/>
            <w:hideMark/>
          </w:tcPr>
          <w:p w14:paraId="1D0C6E5E" w14:textId="1DA8C854" w:rsidR="005C02D3" w:rsidRPr="005C02D3" w:rsidRDefault="005C02D3" w:rsidP="005C02D3">
            <w:pPr>
              <w:rPr>
                <w:rFonts w:cs="Arial"/>
                <w:b/>
                <w:bCs/>
                <w:color w:val="000000"/>
                <w:szCs w:val="24"/>
                <w:lang w:eastAsia="en-GB"/>
              </w:rPr>
            </w:pPr>
            <w:r w:rsidRPr="005C02D3">
              <w:rPr>
                <w:rFonts w:cs="Arial"/>
                <w:color w:val="000000"/>
                <w:szCs w:val="24"/>
              </w:rPr>
              <w:t>Actual Retirement</w:t>
            </w:r>
          </w:p>
        </w:tc>
        <w:tc>
          <w:tcPr>
            <w:tcW w:w="1701" w:type="dxa"/>
            <w:tcBorders>
              <w:top w:val="nil"/>
              <w:left w:val="nil"/>
              <w:bottom w:val="single" w:sz="4" w:space="0" w:color="auto"/>
              <w:right w:val="single" w:sz="4" w:space="0" w:color="auto"/>
            </w:tcBorders>
            <w:shd w:val="clear" w:color="auto" w:fill="auto"/>
            <w:noWrap/>
            <w:vAlign w:val="bottom"/>
            <w:hideMark/>
          </w:tcPr>
          <w:p w14:paraId="00F2C37D" w14:textId="563C5734" w:rsidR="005C02D3" w:rsidRPr="005C02D3" w:rsidRDefault="005C02D3" w:rsidP="005C02D3">
            <w:pPr>
              <w:jc w:val="right"/>
              <w:rPr>
                <w:rFonts w:cs="Arial"/>
                <w:color w:val="000000"/>
                <w:szCs w:val="24"/>
                <w:lang w:eastAsia="en-GB"/>
              </w:rPr>
            </w:pPr>
            <w:r w:rsidRPr="005C02D3">
              <w:rPr>
                <w:rFonts w:cs="Arial"/>
                <w:color w:val="000000"/>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14:paraId="7C423822" w14:textId="30954CD3" w:rsidR="005C02D3" w:rsidRPr="005C02D3" w:rsidRDefault="005C02D3" w:rsidP="005C02D3">
            <w:pPr>
              <w:jc w:val="right"/>
              <w:rPr>
                <w:rFonts w:cs="Arial"/>
                <w:color w:val="000000"/>
                <w:szCs w:val="24"/>
                <w:lang w:eastAsia="en-GB"/>
              </w:rPr>
            </w:pPr>
            <w:r w:rsidRPr="005C02D3">
              <w:rPr>
                <w:rFonts w:cs="Arial"/>
                <w:color w:val="000000"/>
                <w:szCs w:val="24"/>
              </w:rPr>
              <w:t>35</w:t>
            </w:r>
          </w:p>
        </w:tc>
        <w:tc>
          <w:tcPr>
            <w:tcW w:w="1134" w:type="dxa"/>
            <w:tcBorders>
              <w:top w:val="nil"/>
              <w:left w:val="nil"/>
              <w:bottom w:val="single" w:sz="4" w:space="0" w:color="auto"/>
              <w:right w:val="single" w:sz="4" w:space="0" w:color="auto"/>
            </w:tcBorders>
            <w:shd w:val="clear" w:color="auto" w:fill="auto"/>
            <w:noWrap/>
            <w:vAlign w:val="bottom"/>
            <w:hideMark/>
          </w:tcPr>
          <w:p w14:paraId="13706EDF" w14:textId="26327A09" w:rsidR="005C02D3" w:rsidRPr="005C02D3" w:rsidRDefault="005C02D3" w:rsidP="005C02D3">
            <w:pPr>
              <w:jc w:val="right"/>
              <w:rPr>
                <w:rFonts w:cs="Arial"/>
                <w:color w:val="000000"/>
                <w:szCs w:val="24"/>
                <w:lang w:eastAsia="en-GB"/>
              </w:rPr>
            </w:pPr>
            <w:r w:rsidRPr="005C02D3">
              <w:rPr>
                <w:rFonts w:cs="Arial"/>
                <w:color w:val="000000"/>
                <w:szCs w:val="24"/>
              </w:rPr>
              <w:t>34</w:t>
            </w:r>
          </w:p>
        </w:tc>
        <w:tc>
          <w:tcPr>
            <w:tcW w:w="1630" w:type="dxa"/>
            <w:tcBorders>
              <w:top w:val="nil"/>
              <w:left w:val="nil"/>
              <w:bottom w:val="single" w:sz="4" w:space="0" w:color="auto"/>
              <w:right w:val="single" w:sz="4" w:space="0" w:color="auto"/>
            </w:tcBorders>
            <w:shd w:val="clear" w:color="auto" w:fill="auto"/>
            <w:noWrap/>
            <w:vAlign w:val="bottom"/>
            <w:hideMark/>
          </w:tcPr>
          <w:p w14:paraId="5B5A27AB" w14:textId="4D88CE01" w:rsidR="005C02D3" w:rsidRPr="005C02D3" w:rsidRDefault="005C02D3" w:rsidP="005C02D3">
            <w:pPr>
              <w:jc w:val="right"/>
              <w:rPr>
                <w:rFonts w:cs="Arial"/>
                <w:color w:val="000000"/>
                <w:szCs w:val="24"/>
                <w:lang w:eastAsia="en-GB"/>
              </w:rPr>
            </w:pPr>
            <w:r w:rsidRPr="005C02D3">
              <w:rPr>
                <w:rFonts w:cs="Arial"/>
                <w:color w:val="000000"/>
                <w:szCs w:val="24"/>
              </w:rPr>
              <w:t>3</w:t>
            </w:r>
          </w:p>
        </w:tc>
        <w:tc>
          <w:tcPr>
            <w:tcW w:w="2056" w:type="dxa"/>
            <w:tcBorders>
              <w:top w:val="nil"/>
              <w:left w:val="nil"/>
              <w:bottom w:val="single" w:sz="4" w:space="0" w:color="auto"/>
              <w:right w:val="single" w:sz="4" w:space="0" w:color="auto"/>
            </w:tcBorders>
            <w:vAlign w:val="bottom"/>
          </w:tcPr>
          <w:p w14:paraId="2CB0AFFA" w14:textId="1453E830" w:rsidR="005C02D3" w:rsidRPr="005C02D3" w:rsidRDefault="005C02D3" w:rsidP="005C02D3">
            <w:pPr>
              <w:jc w:val="right"/>
              <w:rPr>
                <w:rFonts w:cs="Arial"/>
                <w:color w:val="000000"/>
                <w:szCs w:val="24"/>
                <w:lang w:eastAsia="en-GB"/>
              </w:rPr>
            </w:pPr>
            <w:r w:rsidRPr="005C02D3">
              <w:rPr>
                <w:rFonts w:cs="Arial"/>
                <w:color w:val="000000"/>
                <w:szCs w:val="24"/>
              </w:rPr>
              <w:t>91.9</w:t>
            </w:r>
          </w:p>
        </w:tc>
      </w:tr>
      <w:tr w:rsidR="008A49F2" w:rsidRPr="00C43F54" w14:paraId="3530077E" w14:textId="77777777" w:rsidTr="00B06749">
        <w:trPr>
          <w:trHeight w:val="308"/>
        </w:trPr>
        <w:tc>
          <w:tcPr>
            <w:tcW w:w="24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A487DF4" w14:textId="679B6576" w:rsidR="005C02D3" w:rsidRPr="005C02D3" w:rsidRDefault="005C02D3" w:rsidP="005C02D3">
            <w:pPr>
              <w:rPr>
                <w:rFonts w:cs="Arial"/>
                <w:b/>
                <w:bCs/>
                <w:color w:val="000000"/>
                <w:szCs w:val="24"/>
                <w:lang w:eastAsia="en-GB"/>
              </w:rPr>
            </w:pPr>
            <w:r w:rsidRPr="005C02D3">
              <w:rPr>
                <w:rFonts w:cs="Arial"/>
                <w:color w:val="000000"/>
                <w:szCs w:val="24"/>
              </w:rPr>
              <w:t xml:space="preserve">Preserved Benefit Estimate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A14B237" w14:textId="6B41E394" w:rsidR="005C02D3" w:rsidRPr="005C02D3" w:rsidRDefault="005C02D3" w:rsidP="005C02D3">
            <w:pPr>
              <w:jc w:val="right"/>
              <w:rPr>
                <w:rFonts w:cs="Arial"/>
                <w:color w:val="000000"/>
                <w:szCs w:val="24"/>
                <w:lang w:eastAsia="en-GB"/>
              </w:rPr>
            </w:pPr>
            <w:r w:rsidRPr="005C02D3">
              <w:rPr>
                <w:rFonts w:cs="Arial"/>
                <w:color w:val="000000"/>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05A0C7" w14:textId="65D1A8AB" w:rsidR="005C02D3" w:rsidRPr="005C02D3" w:rsidRDefault="005C02D3" w:rsidP="005C02D3">
            <w:pPr>
              <w:jc w:val="right"/>
              <w:rPr>
                <w:rFonts w:cs="Arial"/>
                <w:color w:val="000000"/>
                <w:szCs w:val="24"/>
                <w:lang w:eastAsia="en-GB"/>
              </w:rPr>
            </w:pPr>
            <w:r w:rsidRPr="005C02D3">
              <w:rPr>
                <w:rFonts w:cs="Arial"/>
                <w:color w:val="000000"/>
                <w:szCs w:val="24"/>
              </w:rPr>
              <w:t>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F5BFFF" w14:textId="45587767" w:rsidR="005C02D3" w:rsidRPr="005C02D3" w:rsidRDefault="005C02D3" w:rsidP="005C02D3">
            <w:pPr>
              <w:jc w:val="right"/>
              <w:rPr>
                <w:rFonts w:cs="Arial"/>
                <w:color w:val="000000"/>
                <w:szCs w:val="24"/>
                <w:lang w:eastAsia="en-GB"/>
              </w:rPr>
            </w:pPr>
            <w:r w:rsidRPr="005C02D3">
              <w:rPr>
                <w:rFonts w:cs="Arial"/>
                <w:color w:val="000000"/>
                <w:szCs w:val="24"/>
              </w:rPr>
              <w:t>69</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77D35AF9" w14:textId="340D77EF" w:rsidR="005C02D3" w:rsidRPr="005C02D3" w:rsidRDefault="005C02D3" w:rsidP="005C02D3">
            <w:pPr>
              <w:jc w:val="right"/>
              <w:rPr>
                <w:rFonts w:cs="Arial"/>
                <w:color w:val="000000"/>
                <w:szCs w:val="24"/>
                <w:lang w:eastAsia="en-GB"/>
              </w:rPr>
            </w:pPr>
            <w:r w:rsidRPr="005C02D3">
              <w:rPr>
                <w:rFonts w:cs="Arial"/>
                <w:color w:val="000000"/>
                <w:szCs w:val="24"/>
              </w:rPr>
              <w:t>10</w:t>
            </w:r>
          </w:p>
        </w:tc>
        <w:tc>
          <w:tcPr>
            <w:tcW w:w="2056" w:type="dxa"/>
            <w:tcBorders>
              <w:top w:val="single" w:sz="4" w:space="0" w:color="auto"/>
              <w:left w:val="nil"/>
              <w:bottom w:val="single" w:sz="4" w:space="0" w:color="auto"/>
              <w:right w:val="single" w:sz="4" w:space="0" w:color="auto"/>
            </w:tcBorders>
            <w:vAlign w:val="bottom"/>
          </w:tcPr>
          <w:p w14:paraId="0255EB49" w14:textId="03BEC9CB" w:rsidR="005C02D3" w:rsidRPr="005C02D3" w:rsidRDefault="005C02D3" w:rsidP="005C02D3">
            <w:pPr>
              <w:jc w:val="right"/>
              <w:rPr>
                <w:rFonts w:cs="Arial"/>
                <w:color w:val="000000"/>
                <w:szCs w:val="24"/>
                <w:lang w:eastAsia="en-GB"/>
              </w:rPr>
            </w:pPr>
            <w:r w:rsidRPr="005C02D3">
              <w:rPr>
                <w:rFonts w:cs="Arial"/>
                <w:color w:val="000000"/>
                <w:szCs w:val="24"/>
              </w:rPr>
              <w:t>87.3</w:t>
            </w:r>
          </w:p>
        </w:tc>
      </w:tr>
      <w:tr w:rsidR="008A49F2" w:rsidRPr="00C43F54" w14:paraId="489EC0DC" w14:textId="77777777" w:rsidTr="00B06749">
        <w:trPr>
          <w:trHeight w:val="308"/>
        </w:trPr>
        <w:tc>
          <w:tcPr>
            <w:tcW w:w="24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E9C3A8E" w14:textId="23C98207" w:rsidR="005C02D3" w:rsidRPr="005C02D3" w:rsidRDefault="005C02D3" w:rsidP="005C02D3">
            <w:pPr>
              <w:rPr>
                <w:rFonts w:cs="Arial"/>
                <w:b/>
                <w:bCs/>
                <w:color w:val="000000"/>
                <w:szCs w:val="24"/>
                <w:lang w:eastAsia="en-GB"/>
              </w:rPr>
            </w:pPr>
            <w:r w:rsidRPr="005C02D3">
              <w:rPr>
                <w:rFonts w:cs="Arial"/>
                <w:color w:val="000000"/>
                <w:szCs w:val="24"/>
              </w:rPr>
              <w:lastRenderedPageBreak/>
              <w:t>Starters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A7F1289" w14:textId="561C3F38" w:rsidR="005C02D3" w:rsidRPr="005C02D3" w:rsidRDefault="005C02D3" w:rsidP="005C02D3">
            <w:pPr>
              <w:jc w:val="right"/>
              <w:rPr>
                <w:rFonts w:cs="Arial"/>
                <w:color w:val="000000"/>
                <w:szCs w:val="24"/>
                <w:lang w:eastAsia="en-GB"/>
              </w:rPr>
            </w:pPr>
            <w:r w:rsidRPr="005C02D3">
              <w:rPr>
                <w:rFonts w:cs="Arial"/>
                <w:color w:val="000000"/>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F6C70C" w14:textId="133C5C64" w:rsidR="005C02D3" w:rsidRPr="005C02D3" w:rsidRDefault="005C02D3" w:rsidP="005C02D3">
            <w:pPr>
              <w:jc w:val="right"/>
              <w:rPr>
                <w:rFonts w:cs="Arial"/>
                <w:color w:val="000000"/>
                <w:szCs w:val="24"/>
                <w:lang w:eastAsia="en-GB"/>
              </w:rPr>
            </w:pPr>
            <w:r w:rsidRPr="005C02D3">
              <w:rPr>
                <w:rFonts w:cs="Arial"/>
                <w:color w:val="000000"/>
                <w:szCs w:val="24"/>
              </w:rPr>
              <w:t>268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3ED074" w14:textId="61FCB78B" w:rsidR="005C02D3" w:rsidRPr="005C02D3" w:rsidRDefault="005C02D3" w:rsidP="005C02D3">
            <w:pPr>
              <w:jc w:val="right"/>
              <w:rPr>
                <w:rFonts w:cs="Arial"/>
                <w:color w:val="000000"/>
                <w:szCs w:val="24"/>
                <w:lang w:eastAsia="en-GB"/>
              </w:rPr>
            </w:pPr>
            <w:r w:rsidRPr="005C02D3">
              <w:rPr>
                <w:rFonts w:cs="Arial"/>
                <w:color w:val="000000"/>
                <w:szCs w:val="24"/>
              </w:rPr>
              <w:t>268</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11CFDBB8" w14:textId="06428548" w:rsidR="005C02D3" w:rsidRPr="005C02D3" w:rsidRDefault="005C02D3" w:rsidP="005C02D3">
            <w:pPr>
              <w:jc w:val="right"/>
              <w:rPr>
                <w:rFonts w:cs="Arial"/>
                <w:color w:val="000000"/>
                <w:szCs w:val="24"/>
                <w:lang w:eastAsia="en-GB"/>
              </w:rPr>
            </w:pPr>
            <w:r w:rsidRPr="005C02D3">
              <w:rPr>
                <w:rFonts w:cs="Arial"/>
                <w:color w:val="000000"/>
                <w:szCs w:val="24"/>
              </w:rPr>
              <w:t>0</w:t>
            </w:r>
          </w:p>
        </w:tc>
        <w:tc>
          <w:tcPr>
            <w:tcW w:w="2056" w:type="dxa"/>
            <w:tcBorders>
              <w:top w:val="single" w:sz="4" w:space="0" w:color="auto"/>
              <w:left w:val="nil"/>
              <w:bottom w:val="single" w:sz="4" w:space="0" w:color="auto"/>
              <w:right w:val="single" w:sz="4" w:space="0" w:color="auto"/>
            </w:tcBorders>
            <w:vAlign w:val="bottom"/>
          </w:tcPr>
          <w:p w14:paraId="6E2CD2C5" w14:textId="40FFD8E6" w:rsidR="005C02D3" w:rsidRPr="005C02D3" w:rsidRDefault="005C02D3" w:rsidP="005C02D3">
            <w:pPr>
              <w:jc w:val="right"/>
              <w:rPr>
                <w:rFonts w:cs="Arial"/>
                <w:color w:val="000000"/>
                <w:szCs w:val="24"/>
                <w:lang w:eastAsia="en-GB"/>
              </w:rPr>
            </w:pPr>
            <w:r w:rsidRPr="005C02D3">
              <w:rPr>
                <w:rFonts w:cs="Arial"/>
                <w:color w:val="000000"/>
                <w:szCs w:val="24"/>
              </w:rPr>
              <w:t>100.0</w:t>
            </w:r>
          </w:p>
        </w:tc>
      </w:tr>
      <w:tr w:rsidR="008A49F2" w:rsidRPr="00C43F54" w14:paraId="676877BD" w14:textId="77777777" w:rsidTr="008A49F2">
        <w:trPr>
          <w:trHeight w:val="308"/>
        </w:trPr>
        <w:tc>
          <w:tcPr>
            <w:tcW w:w="24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D5983FA" w14:textId="12C80F18" w:rsidR="005C02D3" w:rsidRPr="005C02D3" w:rsidRDefault="005C02D3" w:rsidP="005C02D3">
            <w:pPr>
              <w:rPr>
                <w:rFonts w:cs="Arial"/>
                <w:b/>
                <w:bCs/>
                <w:color w:val="000000"/>
                <w:szCs w:val="24"/>
                <w:lang w:eastAsia="en-GB"/>
              </w:rPr>
            </w:pPr>
            <w:r w:rsidRPr="005C02D3">
              <w:rPr>
                <w:rFonts w:cs="Arial"/>
                <w:color w:val="000000"/>
                <w:szCs w:val="24"/>
              </w:rPr>
              <w:t>Leavers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E28CF4F" w14:textId="7EA27081" w:rsidR="005C02D3" w:rsidRPr="005C02D3" w:rsidRDefault="005C02D3" w:rsidP="005C02D3">
            <w:pPr>
              <w:jc w:val="right"/>
              <w:rPr>
                <w:rFonts w:cs="Arial"/>
                <w:color w:val="000000"/>
                <w:szCs w:val="24"/>
                <w:lang w:eastAsia="en-GB"/>
              </w:rPr>
            </w:pPr>
            <w:r w:rsidRPr="005C02D3">
              <w:rPr>
                <w:rFonts w:cs="Arial"/>
                <w:color w:val="000000"/>
                <w:szCs w:val="24"/>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A5DA19" w14:textId="2CF6AB4E" w:rsidR="005C02D3" w:rsidRPr="005C02D3" w:rsidRDefault="005C02D3" w:rsidP="005C02D3">
            <w:pPr>
              <w:jc w:val="right"/>
              <w:rPr>
                <w:rFonts w:cs="Arial"/>
                <w:color w:val="000000"/>
                <w:szCs w:val="24"/>
                <w:lang w:eastAsia="en-GB"/>
              </w:rPr>
            </w:pPr>
            <w:r w:rsidRPr="005C02D3">
              <w:rPr>
                <w:rFonts w:cs="Arial"/>
                <w:color w:val="000000"/>
                <w:szCs w:val="24"/>
              </w:rPr>
              <w:t>329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ACC719" w14:textId="1193CC81" w:rsidR="005C02D3" w:rsidRPr="005C02D3" w:rsidRDefault="005C02D3" w:rsidP="005C02D3">
            <w:pPr>
              <w:jc w:val="right"/>
              <w:rPr>
                <w:rFonts w:cs="Arial"/>
                <w:color w:val="000000"/>
                <w:szCs w:val="24"/>
                <w:lang w:eastAsia="en-GB"/>
              </w:rPr>
            </w:pPr>
            <w:r w:rsidRPr="005C02D3">
              <w:rPr>
                <w:rFonts w:cs="Arial"/>
                <w:color w:val="000000"/>
                <w:szCs w:val="24"/>
              </w:rPr>
              <w:t>317</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2E5EF801" w14:textId="55FE4A7E" w:rsidR="005C02D3" w:rsidRPr="005C02D3" w:rsidRDefault="005C02D3" w:rsidP="005C02D3">
            <w:pPr>
              <w:jc w:val="right"/>
              <w:rPr>
                <w:rFonts w:cs="Arial"/>
                <w:color w:val="000000"/>
                <w:szCs w:val="24"/>
                <w:lang w:eastAsia="en-GB"/>
              </w:rPr>
            </w:pPr>
            <w:r w:rsidRPr="005C02D3">
              <w:rPr>
                <w:rFonts w:cs="Arial"/>
                <w:color w:val="000000"/>
                <w:szCs w:val="24"/>
              </w:rPr>
              <w:t>25</w:t>
            </w:r>
          </w:p>
        </w:tc>
        <w:tc>
          <w:tcPr>
            <w:tcW w:w="2056" w:type="dxa"/>
            <w:tcBorders>
              <w:top w:val="single" w:sz="4" w:space="0" w:color="auto"/>
              <w:left w:val="nil"/>
              <w:bottom w:val="single" w:sz="4" w:space="0" w:color="auto"/>
              <w:right w:val="single" w:sz="4" w:space="0" w:color="auto"/>
            </w:tcBorders>
            <w:vAlign w:val="bottom"/>
          </w:tcPr>
          <w:p w14:paraId="0C5D03D3" w14:textId="177C9E37" w:rsidR="005C02D3" w:rsidRPr="005C02D3" w:rsidRDefault="005C02D3" w:rsidP="005C02D3">
            <w:pPr>
              <w:jc w:val="right"/>
              <w:rPr>
                <w:rFonts w:cs="Arial"/>
                <w:color w:val="000000"/>
                <w:szCs w:val="24"/>
                <w:lang w:eastAsia="en-GB"/>
              </w:rPr>
            </w:pPr>
            <w:r w:rsidRPr="005C02D3">
              <w:rPr>
                <w:rFonts w:cs="Arial"/>
                <w:color w:val="000000"/>
                <w:szCs w:val="24"/>
              </w:rPr>
              <w:t>92.7</w:t>
            </w:r>
          </w:p>
        </w:tc>
      </w:tr>
      <w:tr w:rsidR="008A49F2" w:rsidRPr="00C43F54" w14:paraId="5F78474F" w14:textId="77777777" w:rsidTr="008A49F2">
        <w:trPr>
          <w:trHeight w:val="308"/>
        </w:trPr>
        <w:tc>
          <w:tcPr>
            <w:tcW w:w="240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DBF42AF" w14:textId="77777777" w:rsidR="008A49F2" w:rsidRPr="00C43F54" w:rsidRDefault="008A49F2" w:rsidP="008A49F2">
            <w:pPr>
              <w:rPr>
                <w:rFonts w:cs="Arial"/>
                <w:b/>
                <w:bCs/>
                <w:color w:val="000000"/>
                <w:szCs w:val="24"/>
                <w:lang w:eastAsia="en-GB"/>
              </w:rPr>
            </w:pPr>
            <w:r w:rsidRPr="00C43F54">
              <w:rPr>
                <w:rFonts w:cs="Arial"/>
                <w:b/>
                <w:bCs/>
                <w:color w:val="000000"/>
                <w:szCs w:val="24"/>
                <w:lang w:eastAsia="en-GB"/>
              </w:rPr>
              <w:t>Other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D6DFBA8" w14:textId="29E183FA" w:rsidR="008A49F2" w:rsidRPr="008A49F2" w:rsidRDefault="008A49F2" w:rsidP="008A49F2">
            <w:pPr>
              <w:jc w:val="right"/>
              <w:rPr>
                <w:rFonts w:cs="Arial"/>
                <w:color w:val="000000"/>
                <w:szCs w:val="24"/>
                <w:lang w:eastAsia="en-GB"/>
              </w:rPr>
            </w:pPr>
            <w:r w:rsidRPr="008A49F2">
              <w:rPr>
                <w:rFonts w:cs="Arial"/>
                <w:color w:val="000000"/>
                <w:szCs w:val="24"/>
              </w:rPr>
              <w:t>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5C2BD5" w14:textId="0E177278" w:rsidR="008A49F2" w:rsidRPr="008A49F2" w:rsidRDefault="008A49F2" w:rsidP="008A49F2">
            <w:pPr>
              <w:jc w:val="right"/>
              <w:rPr>
                <w:rFonts w:cs="Arial"/>
                <w:color w:val="000000"/>
                <w:szCs w:val="24"/>
                <w:lang w:eastAsia="en-GB"/>
              </w:rPr>
            </w:pPr>
            <w:r w:rsidRPr="008A49F2">
              <w:rPr>
                <w:rFonts w:cs="Arial"/>
                <w:color w:val="000000"/>
                <w:szCs w:val="24"/>
              </w:rPr>
              <w:t>1108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0A4F03" w14:textId="73FD73F6" w:rsidR="008A49F2" w:rsidRPr="008A49F2" w:rsidRDefault="008A49F2" w:rsidP="008A49F2">
            <w:pPr>
              <w:jc w:val="right"/>
              <w:rPr>
                <w:rFonts w:cs="Arial"/>
                <w:color w:val="000000"/>
                <w:szCs w:val="24"/>
                <w:lang w:eastAsia="en-GB"/>
              </w:rPr>
            </w:pPr>
            <w:r w:rsidRPr="008A49F2">
              <w:rPr>
                <w:rFonts w:cs="Arial"/>
                <w:color w:val="000000"/>
                <w:szCs w:val="24"/>
              </w:rPr>
              <w:t>1059</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4C860E9D" w14:textId="603F036C" w:rsidR="008A49F2" w:rsidRPr="008A49F2" w:rsidRDefault="008A49F2" w:rsidP="008A49F2">
            <w:pPr>
              <w:jc w:val="right"/>
              <w:rPr>
                <w:rFonts w:cs="Arial"/>
                <w:color w:val="000000"/>
                <w:szCs w:val="24"/>
                <w:lang w:eastAsia="en-GB"/>
              </w:rPr>
            </w:pPr>
            <w:r w:rsidRPr="008A49F2">
              <w:rPr>
                <w:rFonts w:cs="Arial"/>
                <w:color w:val="000000"/>
                <w:szCs w:val="24"/>
              </w:rPr>
              <w:t>93</w:t>
            </w:r>
          </w:p>
        </w:tc>
        <w:tc>
          <w:tcPr>
            <w:tcW w:w="2056" w:type="dxa"/>
            <w:tcBorders>
              <w:top w:val="single" w:sz="4" w:space="0" w:color="auto"/>
              <w:left w:val="nil"/>
              <w:bottom w:val="single" w:sz="4" w:space="0" w:color="auto"/>
              <w:right w:val="single" w:sz="4" w:space="0" w:color="auto"/>
            </w:tcBorders>
            <w:vAlign w:val="bottom"/>
          </w:tcPr>
          <w:p w14:paraId="4DEB85C9" w14:textId="6C732E88" w:rsidR="008A49F2" w:rsidRPr="008A49F2" w:rsidRDefault="008A49F2" w:rsidP="008A49F2">
            <w:pPr>
              <w:jc w:val="right"/>
              <w:rPr>
                <w:rFonts w:cs="Arial"/>
                <w:color w:val="000000"/>
                <w:szCs w:val="24"/>
                <w:lang w:eastAsia="en-GB"/>
              </w:rPr>
            </w:pPr>
            <w:r w:rsidRPr="008A49F2">
              <w:rPr>
                <w:rFonts w:cs="Arial"/>
                <w:color w:val="000000"/>
                <w:szCs w:val="24"/>
              </w:rPr>
              <w:t>91.9</w:t>
            </w:r>
          </w:p>
        </w:tc>
      </w:tr>
      <w:tr w:rsidR="008A49F2" w:rsidRPr="00C43F54" w14:paraId="6DCA92F5" w14:textId="77777777" w:rsidTr="008A49F2">
        <w:trPr>
          <w:trHeight w:val="308"/>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45492FE" w14:textId="77777777" w:rsidR="008A49F2" w:rsidRPr="00C43F54" w:rsidRDefault="008A49F2" w:rsidP="008A49F2">
            <w:pPr>
              <w:rPr>
                <w:rFonts w:cs="Arial"/>
                <w:b/>
                <w:bCs/>
                <w:color w:val="000000"/>
                <w:szCs w:val="24"/>
                <w:lang w:eastAsia="en-GB"/>
              </w:rPr>
            </w:pPr>
            <w:r w:rsidRPr="00C43F54">
              <w:rPr>
                <w:rFonts w:cs="Arial"/>
                <w:b/>
                <w:bCs/>
                <w:color w:val="000000"/>
                <w:szCs w:val="24"/>
                <w:lang w:eastAsia="en-GB"/>
              </w:rPr>
              <w:t xml:space="preserve">Total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B97E653" w14:textId="6B2997C3" w:rsidR="008A49F2" w:rsidRPr="008A49F2" w:rsidRDefault="008A49F2" w:rsidP="008A49F2">
            <w:pPr>
              <w:jc w:val="right"/>
              <w:rPr>
                <w:rFonts w:cs="Arial"/>
                <w:b/>
                <w:bCs/>
                <w:color w:val="000000"/>
                <w:szCs w:val="24"/>
                <w:lang w:eastAsia="en-GB"/>
              </w:rPr>
            </w:pPr>
            <w:r w:rsidRPr="008A49F2">
              <w:rPr>
                <w:rFonts w:cs="Arial"/>
                <w:color w:val="000000"/>
                <w:szCs w:val="24"/>
              </w:rPr>
              <w:t>77</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D6BE600" w14:textId="3DA1EB77" w:rsidR="008A49F2" w:rsidRPr="008A49F2" w:rsidRDefault="008A49F2" w:rsidP="008A49F2">
            <w:pPr>
              <w:jc w:val="right"/>
              <w:rPr>
                <w:rFonts w:cs="Arial"/>
                <w:b/>
                <w:bCs/>
                <w:color w:val="000000"/>
                <w:szCs w:val="24"/>
                <w:lang w:eastAsia="en-GB"/>
              </w:rPr>
            </w:pPr>
            <w:r w:rsidRPr="008A49F2">
              <w:rPr>
                <w:rFonts w:cs="Arial"/>
                <w:color w:val="000000"/>
                <w:szCs w:val="24"/>
              </w:rPr>
              <w:t>2143</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F6384C2" w14:textId="48D22310" w:rsidR="008A49F2" w:rsidRPr="008A49F2" w:rsidRDefault="008A49F2" w:rsidP="008A49F2">
            <w:pPr>
              <w:jc w:val="right"/>
              <w:rPr>
                <w:rFonts w:cs="Arial"/>
                <w:b/>
                <w:bCs/>
                <w:color w:val="000000"/>
                <w:szCs w:val="24"/>
                <w:lang w:eastAsia="en-GB"/>
              </w:rPr>
            </w:pPr>
            <w:r w:rsidRPr="008A49F2">
              <w:rPr>
                <w:rFonts w:cs="Arial"/>
                <w:color w:val="000000"/>
                <w:szCs w:val="24"/>
              </w:rPr>
              <w:t>2068</w:t>
            </w:r>
          </w:p>
        </w:tc>
        <w:tc>
          <w:tcPr>
            <w:tcW w:w="163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7E902F0" w14:textId="1F7CA640" w:rsidR="008A49F2" w:rsidRPr="008A49F2" w:rsidRDefault="008A49F2" w:rsidP="008A49F2">
            <w:pPr>
              <w:jc w:val="right"/>
              <w:rPr>
                <w:rFonts w:cs="Arial"/>
                <w:b/>
                <w:bCs/>
                <w:color w:val="000000"/>
                <w:szCs w:val="24"/>
                <w:lang w:eastAsia="en-GB"/>
              </w:rPr>
            </w:pPr>
            <w:r w:rsidRPr="008A49F2">
              <w:rPr>
                <w:rFonts w:cs="Arial"/>
                <w:color w:val="000000"/>
                <w:szCs w:val="24"/>
              </w:rPr>
              <w:t>152</w:t>
            </w:r>
          </w:p>
        </w:tc>
        <w:tc>
          <w:tcPr>
            <w:tcW w:w="2056"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122595A" w14:textId="0C02A072" w:rsidR="008A49F2" w:rsidRPr="008A49F2" w:rsidRDefault="008A49F2" w:rsidP="008A49F2">
            <w:pPr>
              <w:jc w:val="right"/>
              <w:rPr>
                <w:rFonts w:cs="Arial"/>
                <w:b/>
                <w:bCs/>
                <w:color w:val="000000"/>
                <w:szCs w:val="24"/>
                <w:lang w:eastAsia="en-GB"/>
              </w:rPr>
            </w:pPr>
            <w:r w:rsidRPr="008A49F2">
              <w:rPr>
                <w:rFonts w:cs="Arial"/>
                <w:color w:val="000000"/>
                <w:szCs w:val="24"/>
              </w:rPr>
              <w:t>93.2</w:t>
            </w:r>
          </w:p>
        </w:tc>
      </w:tr>
    </w:tbl>
    <w:p w14:paraId="403FB7DD" w14:textId="77777777" w:rsidR="00724C82" w:rsidRDefault="00724C82" w:rsidP="00724C82">
      <w:pPr>
        <w:ind w:left="284"/>
        <w:jc w:val="both"/>
      </w:pPr>
    </w:p>
    <w:p w14:paraId="68B98D60" w14:textId="7FCA5C24" w:rsidR="008A49F2" w:rsidRDefault="00AB71A9" w:rsidP="008A49F2">
      <w:pPr>
        <w:numPr>
          <w:ilvl w:val="0"/>
          <w:numId w:val="2"/>
        </w:numPr>
        <w:tabs>
          <w:tab w:val="num" w:pos="284"/>
        </w:tabs>
        <w:ind w:left="284" w:hanging="851"/>
        <w:jc w:val="both"/>
      </w:pPr>
      <w:r>
        <w:t>For quarter ending June 2023 the Administration Team completed a total of 2,068 tasks. An average of 93% of all tasks were completed over this period</w:t>
      </w:r>
      <w:r w:rsidR="008A49F2" w:rsidRPr="00724C82">
        <w:t>.</w:t>
      </w:r>
    </w:p>
    <w:p w14:paraId="6A222F1D" w14:textId="77777777" w:rsidR="008A49F2" w:rsidRDefault="008A49F2" w:rsidP="008A49F2">
      <w:pPr>
        <w:ind w:left="284"/>
        <w:jc w:val="both"/>
      </w:pPr>
    </w:p>
    <w:p w14:paraId="4FCD7DF2" w14:textId="31717F02" w:rsidR="008A49F2" w:rsidRPr="008A49F2" w:rsidRDefault="008A49F2" w:rsidP="008A49F2">
      <w:pPr>
        <w:ind w:left="284"/>
        <w:jc w:val="both"/>
      </w:pPr>
      <w:r w:rsidRPr="008A49F2">
        <w:rPr>
          <w:b/>
          <w:bCs/>
        </w:rPr>
        <w:t xml:space="preserve">Complaints </w:t>
      </w:r>
    </w:p>
    <w:p w14:paraId="433B2EDA" w14:textId="77777777" w:rsidR="008A49F2" w:rsidRDefault="008A49F2" w:rsidP="008A49F2">
      <w:pPr>
        <w:ind w:left="284"/>
        <w:jc w:val="both"/>
      </w:pPr>
    </w:p>
    <w:p w14:paraId="7AF1D97E" w14:textId="3232001D" w:rsidR="00231DB8" w:rsidRDefault="00231DB8" w:rsidP="00231DB8">
      <w:pPr>
        <w:numPr>
          <w:ilvl w:val="0"/>
          <w:numId w:val="2"/>
        </w:numPr>
        <w:tabs>
          <w:tab w:val="num" w:pos="284"/>
        </w:tabs>
        <w:ind w:left="284" w:hanging="851"/>
        <w:jc w:val="both"/>
      </w:pPr>
      <w:r>
        <w:t xml:space="preserve">During this period there are no complaints received. </w:t>
      </w:r>
    </w:p>
    <w:p w14:paraId="2ADE423F" w14:textId="77777777" w:rsidR="00231DB8" w:rsidRDefault="00231DB8" w:rsidP="00231DB8">
      <w:pPr>
        <w:ind w:left="284"/>
        <w:jc w:val="both"/>
      </w:pPr>
    </w:p>
    <w:p w14:paraId="39A27CFB" w14:textId="090E4328" w:rsidR="00231DB8" w:rsidRDefault="00231DB8" w:rsidP="00231DB8">
      <w:pPr>
        <w:numPr>
          <w:ilvl w:val="0"/>
          <w:numId w:val="2"/>
        </w:numPr>
        <w:tabs>
          <w:tab w:val="num" w:pos="284"/>
        </w:tabs>
        <w:ind w:left="284" w:hanging="851"/>
        <w:jc w:val="both"/>
      </w:pPr>
      <w:r>
        <w:t>There are two</w:t>
      </w:r>
      <w:r w:rsidRPr="00231DB8">
        <w:t xml:space="preserve"> ongoing complaints </w:t>
      </w:r>
      <w:r>
        <w:t xml:space="preserve">against Clerical Medical (CM). </w:t>
      </w:r>
    </w:p>
    <w:p w14:paraId="29A18E0A" w14:textId="77777777" w:rsidR="00231DB8" w:rsidRDefault="00231DB8" w:rsidP="00231DB8">
      <w:pPr>
        <w:pStyle w:val="ListParagraph"/>
      </w:pPr>
    </w:p>
    <w:p w14:paraId="5597B4A0" w14:textId="77777777" w:rsidR="00231DB8" w:rsidRDefault="00231DB8" w:rsidP="00231DB8">
      <w:pPr>
        <w:numPr>
          <w:ilvl w:val="0"/>
          <w:numId w:val="12"/>
        </w:numPr>
        <w:jc w:val="both"/>
      </w:pPr>
      <w:r>
        <w:t>One regarding a life cover which had expired, Mrs R had not been informed by CM and deductions were being taken, they tried to refund her the money and her argument was that she was under the impression she would have been covered had something happened. Second complaint following her deferment from in profits fund which can only be deferred twice. CM did not send an information factsheet at the time so have given Mrs R a couple of options (this case will more than likely end up with Ombudsman)</w:t>
      </w:r>
    </w:p>
    <w:p w14:paraId="37F934F8" w14:textId="77777777" w:rsidR="00231DB8" w:rsidRDefault="00231DB8" w:rsidP="00231DB8">
      <w:pPr>
        <w:pStyle w:val="ListParagraph"/>
      </w:pPr>
    </w:p>
    <w:p w14:paraId="51CF37A2" w14:textId="55DA902C" w:rsidR="00231DB8" w:rsidRDefault="00231DB8" w:rsidP="00231DB8">
      <w:pPr>
        <w:numPr>
          <w:ilvl w:val="0"/>
          <w:numId w:val="12"/>
        </w:numPr>
        <w:jc w:val="both"/>
      </w:pPr>
      <w:r>
        <w:t xml:space="preserve">The second complaint was from CC – she complained to the admin team because she did not receive her retirement letter with the breakdown of payments. This was due to postal issue. An email has been sent to her early this month, hopefully this is now resolved. </w:t>
      </w:r>
    </w:p>
    <w:p w14:paraId="506425BD" w14:textId="77777777" w:rsidR="00231DB8" w:rsidRDefault="00231DB8" w:rsidP="00231DB8">
      <w:pPr>
        <w:pStyle w:val="ListParagraph"/>
      </w:pPr>
    </w:p>
    <w:p w14:paraId="12FF75F4" w14:textId="1C9DF98B" w:rsidR="00231DB8" w:rsidRPr="00231DB8" w:rsidRDefault="00231DB8" w:rsidP="00231DB8">
      <w:pPr>
        <w:ind w:left="284"/>
        <w:jc w:val="both"/>
        <w:rPr>
          <w:b/>
          <w:bCs/>
        </w:rPr>
      </w:pPr>
      <w:r w:rsidRPr="00231DB8">
        <w:rPr>
          <w:b/>
          <w:bCs/>
        </w:rPr>
        <w:t xml:space="preserve">Pension Ombudsman </w:t>
      </w:r>
      <w:r>
        <w:rPr>
          <w:b/>
          <w:bCs/>
        </w:rPr>
        <w:t>A</w:t>
      </w:r>
      <w:r w:rsidRPr="00231DB8">
        <w:rPr>
          <w:b/>
          <w:bCs/>
        </w:rPr>
        <w:t xml:space="preserve">ppeals </w:t>
      </w:r>
    </w:p>
    <w:p w14:paraId="6D5CCF01" w14:textId="77777777" w:rsidR="00231DB8" w:rsidRDefault="00231DB8" w:rsidP="00231DB8">
      <w:pPr>
        <w:pStyle w:val="ListParagraph"/>
      </w:pPr>
    </w:p>
    <w:p w14:paraId="325ADE16" w14:textId="3F14D604" w:rsidR="00231DB8" w:rsidRPr="00231DB8" w:rsidRDefault="00231DB8" w:rsidP="00231DB8">
      <w:pPr>
        <w:numPr>
          <w:ilvl w:val="0"/>
          <w:numId w:val="2"/>
        </w:numPr>
        <w:tabs>
          <w:tab w:val="num" w:pos="284"/>
        </w:tabs>
        <w:ind w:left="284" w:hanging="851"/>
        <w:jc w:val="both"/>
      </w:pPr>
      <w:r>
        <w:t>The two previous Ombudsman cases are now resolved as stated below:</w:t>
      </w:r>
    </w:p>
    <w:p w14:paraId="07A084C1" w14:textId="77777777" w:rsidR="00231DB8" w:rsidRDefault="00231DB8" w:rsidP="00231DB8">
      <w:pPr>
        <w:ind w:left="284"/>
        <w:jc w:val="both"/>
      </w:pPr>
    </w:p>
    <w:p w14:paraId="7292A170" w14:textId="2AA6A886" w:rsidR="00231DB8" w:rsidRDefault="00231DB8" w:rsidP="00231DB8">
      <w:pPr>
        <w:numPr>
          <w:ilvl w:val="0"/>
          <w:numId w:val="13"/>
        </w:numPr>
        <w:tabs>
          <w:tab w:val="clear" w:pos="584"/>
          <w:tab w:val="num" w:pos="681"/>
        </w:tabs>
        <w:ind w:left="681"/>
        <w:jc w:val="both"/>
      </w:pPr>
      <w:r>
        <w:t xml:space="preserve">CG – Following the Ombudsman instruction to re refer CG to Occupational Health, this was done but Tier 1 was not awarded. The admin team and Medigold have both sent this decision to CG. </w:t>
      </w:r>
    </w:p>
    <w:p w14:paraId="7665B514" w14:textId="77777777" w:rsidR="00231DB8" w:rsidRDefault="00231DB8" w:rsidP="00231DB8">
      <w:pPr>
        <w:ind w:left="97"/>
        <w:jc w:val="both"/>
      </w:pPr>
    </w:p>
    <w:p w14:paraId="15454D62" w14:textId="24E0FADF" w:rsidR="00231DB8" w:rsidRDefault="00231DB8" w:rsidP="00231DB8">
      <w:pPr>
        <w:numPr>
          <w:ilvl w:val="0"/>
          <w:numId w:val="13"/>
        </w:numPr>
        <w:tabs>
          <w:tab w:val="clear" w:pos="584"/>
          <w:tab w:val="num" w:pos="681"/>
        </w:tabs>
        <w:ind w:left="681"/>
        <w:jc w:val="both"/>
      </w:pPr>
      <w:r>
        <w:t xml:space="preserve">BH – Appealed against the decision of </w:t>
      </w:r>
      <w:r w:rsidR="0056001D">
        <w:t>rejection</w:t>
      </w:r>
      <w:r>
        <w:t xml:space="preserve"> of ill Health payment of a deferred Pension. BH reached </w:t>
      </w:r>
      <w:r w:rsidR="0056001D">
        <w:t>the p</w:t>
      </w:r>
      <w:r>
        <w:t xml:space="preserve">ension age in September and </w:t>
      </w:r>
      <w:r w:rsidR="0056001D">
        <w:t xml:space="preserve">started </w:t>
      </w:r>
      <w:r>
        <w:t>t</w:t>
      </w:r>
      <w:r w:rsidR="0056001D">
        <w:t>aking</w:t>
      </w:r>
      <w:r>
        <w:t xml:space="preserve"> his benefit. </w:t>
      </w:r>
    </w:p>
    <w:p w14:paraId="0791BCFA" w14:textId="77777777" w:rsidR="00231DB8" w:rsidRDefault="00231DB8" w:rsidP="00231DB8">
      <w:pPr>
        <w:ind w:left="284"/>
        <w:jc w:val="both"/>
      </w:pPr>
    </w:p>
    <w:p w14:paraId="5F46F845" w14:textId="23E53C84" w:rsidR="00231DB8" w:rsidRDefault="00231DB8" w:rsidP="00F10314">
      <w:pPr>
        <w:numPr>
          <w:ilvl w:val="0"/>
          <w:numId w:val="2"/>
        </w:numPr>
        <w:tabs>
          <w:tab w:val="num" w:pos="284"/>
        </w:tabs>
        <w:ind w:left="284" w:hanging="851"/>
        <w:jc w:val="both"/>
      </w:pPr>
      <w:r>
        <w:t xml:space="preserve">No new Pensions Ombudsman appeals received in this period. </w:t>
      </w:r>
    </w:p>
    <w:p w14:paraId="40AF4589" w14:textId="77777777" w:rsidR="00231DB8" w:rsidRDefault="00231DB8" w:rsidP="00231DB8">
      <w:pPr>
        <w:pStyle w:val="ListParagraph"/>
      </w:pPr>
    </w:p>
    <w:p w14:paraId="3957AC96" w14:textId="2B0E5105" w:rsidR="00231DB8" w:rsidRPr="00231DB8" w:rsidRDefault="00231DB8" w:rsidP="00231DB8">
      <w:pPr>
        <w:ind w:left="284"/>
        <w:jc w:val="both"/>
        <w:rPr>
          <w:b/>
          <w:bCs/>
        </w:rPr>
      </w:pPr>
      <w:r w:rsidRPr="00231DB8">
        <w:rPr>
          <w:b/>
          <w:bCs/>
        </w:rPr>
        <w:t xml:space="preserve">Update on Log of Breaches (potential breaches) </w:t>
      </w:r>
    </w:p>
    <w:p w14:paraId="7384D413" w14:textId="77777777" w:rsidR="00231DB8" w:rsidRDefault="00231DB8" w:rsidP="00231DB8">
      <w:pPr>
        <w:pStyle w:val="ListParagraph"/>
      </w:pPr>
    </w:p>
    <w:p w14:paraId="4A396F9D" w14:textId="5BDD8BEF" w:rsidR="00231DB8" w:rsidRDefault="00231DB8" w:rsidP="00F10314">
      <w:pPr>
        <w:numPr>
          <w:ilvl w:val="0"/>
          <w:numId w:val="2"/>
        </w:numPr>
        <w:tabs>
          <w:tab w:val="num" w:pos="284"/>
        </w:tabs>
        <w:ind w:left="284" w:hanging="851"/>
        <w:jc w:val="both"/>
      </w:pPr>
      <w:r>
        <w:t>There are no breaches to report, this period.</w:t>
      </w:r>
    </w:p>
    <w:p w14:paraId="7322C205" w14:textId="77777777" w:rsidR="00231DB8" w:rsidRDefault="00231DB8" w:rsidP="00231DB8">
      <w:pPr>
        <w:ind w:left="284"/>
        <w:jc w:val="both"/>
      </w:pPr>
    </w:p>
    <w:p w14:paraId="43E0484B" w14:textId="77777777" w:rsidR="00231DB8" w:rsidRDefault="00231DB8" w:rsidP="00231DB8">
      <w:pPr>
        <w:ind w:left="284"/>
        <w:jc w:val="both"/>
      </w:pPr>
      <w:r w:rsidRPr="00231DB8">
        <w:rPr>
          <w:b/>
          <w:bCs/>
        </w:rPr>
        <w:t>Guaranteed Minimum Pension (GMP</w:t>
      </w:r>
      <w:r>
        <w:t xml:space="preserve">) </w:t>
      </w:r>
    </w:p>
    <w:p w14:paraId="0E4232BA" w14:textId="77777777" w:rsidR="00231DB8" w:rsidRDefault="00231DB8" w:rsidP="00231DB8">
      <w:pPr>
        <w:pStyle w:val="ListParagraph"/>
      </w:pPr>
    </w:p>
    <w:p w14:paraId="67391EDE" w14:textId="79C134D0" w:rsidR="00231DB8" w:rsidRDefault="00231DB8" w:rsidP="00F10314">
      <w:pPr>
        <w:numPr>
          <w:ilvl w:val="0"/>
          <w:numId w:val="2"/>
        </w:numPr>
        <w:tabs>
          <w:tab w:val="num" w:pos="284"/>
        </w:tabs>
        <w:ind w:left="284" w:hanging="851"/>
        <w:jc w:val="both"/>
      </w:pPr>
      <w:r w:rsidRPr="00231DB8">
        <w:t>Reconciliation Project took place in 2016 – audit have picked up some error</w:t>
      </w:r>
      <w:r w:rsidR="00F27FEE">
        <w:t>s</w:t>
      </w:r>
      <w:r w:rsidRPr="00231DB8">
        <w:t xml:space="preserve"> which need to be reviewed</w:t>
      </w:r>
      <w:r>
        <w:t xml:space="preserve">. All required member data need analysing and recalculated, and any discrepancies or exceptions will be investigated. </w:t>
      </w:r>
    </w:p>
    <w:p w14:paraId="156217E6" w14:textId="77777777" w:rsidR="00231DB8" w:rsidRDefault="00231DB8" w:rsidP="00231DB8">
      <w:pPr>
        <w:pStyle w:val="ListParagraph"/>
      </w:pPr>
    </w:p>
    <w:p w14:paraId="22188B4F" w14:textId="77777777" w:rsidR="00231DB8" w:rsidRDefault="00231DB8" w:rsidP="00231DB8">
      <w:pPr>
        <w:pStyle w:val="ListParagraph"/>
      </w:pPr>
    </w:p>
    <w:p w14:paraId="3E7C0544" w14:textId="383FA288" w:rsidR="00231DB8" w:rsidRDefault="00231DB8" w:rsidP="00F10314">
      <w:pPr>
        <w:numPr>
          <w:ilvl w:val="0"/>
          <w:numId w:val="2"/>
        </w:numPr>
        <w:tabs>
          <w:tab w:val="num" w:pos="284"/>
        </w:tabs>
        <w:ind w:left="284" w:hanging="851"/>
        <w:jc w:val="both"/>
      </w:pPr>
      <w:r>
        <w:lastRenderedPageBreak/>
        <w:t xml:space="preserve">It is therefore planned at the next Board meeting to propose a rectification approach which will allow the project to proceed on how to treat all affected members, both those who maybe over or under paid. </w:t>
      </w:r>
    </w:p>
    <w:p w14:paraId="36E2CD02" w14:textId="77777777" w:rsidR="00231DB8" w:rsidRDefault="00231DB8" w:rsidP="00231DB8">
      <w:pPr>
        <w:pStyle w:val="ListParagraph"/>
      </w:pPr>
    </w:p>
    <w:p w14:paraId="67D8CADA" w14:textId="07445B45" w:rsidR="00231DB8" w:rsidRPr="00231DB8" w:rsidRDefault="00231DB8" w:rsidP="00231DB8">
      <w:pPr>
        <w:ind w:left="284"/>
        <w:jc w:val="both"/>
        <w:rPr>
          <w:b/>
          <w:bCs/>
        </w:rPr>
      </w:pPr>
      <w:r w:rsidRPr="00231DB8">
        <w:rPr>
          <w:b/>
          <w:bCs/>
        </w:rPr>
        <w:t>Annual Benefit Statements</w:t>
      </w:r>
      <w:r>
        <w:rPr>
          <w:b/>
          <w:bCs/>
        </w:rPr>
        <w:t xml:space="preserve"> (ABS)</w:t>
      </w:r>
      <w:r w:rsidRPr="00231DB8">
        <w:rPr>
          <w:b/>
          <w:bCs/>
        </w:rPr>
        <w:t xml:space="preserve"> </w:t>
      </w:r>
    </w:p>
    <w:p w14:paraId="02EB09CE" w14:textId="77777777" w:rsidR="00231DB8" w:rsidRDefault="00231DB8" w:rsidP="00231DB8">
      <w:pPr>
        <w:pStyle w:val="ListParagraph"/>
      </w:pPr>
    </w:p>
    <w:p w14:paraId="06A165CC" w14:textId="77777777" w:rsidR="00AF2168" w:rsidRDefault="00231DB8" w:rsidP="00F10314">
      <w:pPr>
        <w:numPr>
          <w:ilvl w:val="0"/>
          <w:numId w:val="2"/>
        </w:numPr>
        <w:tabs>
          <w:tab w:val="num" w:pos="284"/>
        </w:tabs>
        <w:ind w:left="284" w:hanging="851"/>
        <w:jc w:val="both"/>
      </w:pPr>
      <w:r w:rsidRPr="00231DB8">
        <w:t>Administe</w:t>
      </w:r>
      <w:r>
        <w:t>ring</w:t>
      </w:r>
      <w:r w:rsidRPr="00231DB8">
        <w:t xml:space="preserve"> authorities of the </w:t>
      </w:r>
      <w:r>
        <w:t>L</w:t>
      </w:r>
      <w:r w:rsidRPr="00231DB8">
        <w:t xml:space="preserve">ocal </w:t>
      </w:r>
      <w:r>
        <w:t>G</w:t>
      </w:r>
      <w:r w:rsidRPr="00231DB8">
        <w:t xml:space="preserve">overnment </w:t>
      </w:r>
      <w:r>
        <w:t>P</w:t>
      </w:r>
      <w:r w:rsidRPr="00231DB8">
        <w:t xml:space="preserve">ension </w:t>
      </w:r>
      <w:r>
        <w:t>S</w:t>
      </w:r>
      <w:r w:rsidRPr="00231DB8">
        <w:t xml:space="preserve">cheme </w:t>
      </w:r>
      <w:r>
        <w:t>(</w:t>
      </w:r>
      <w:r w:rsidRPr="00231DB8">
        <w:t>LGPS</w:t>
      </w:r>
      <w:r>
        <w:t>)</w:t>
      </w:r>
      <w:r w:rsidRPr="00231DB8">
        <w:t xml:space="preserve"> are required to provide all scheme members with a yearly benefit statement which shows the current value of pension benefits accrued as at 31 March of the previous financial year</w:t>
      </w:r>
      <w:r w:rsidR="00AF2168">
        <w:t>.</w:t>
      </w:r>
    </w:p>
    <w:p w14:paraId="3A5B21FE" w14:textId="5533D61A" w:rsidR="00AF2168" w:rsidRDefault="00AF2168" w:rsidP="00AF2168">
      <w:pPr>
        <w:ind w:left="284"/>
        <w:jc w:val="both"/>
      </w:pPr>
    </w:p>
    <w:p w14:paraId="14252409" w14:textId="40A99290" w:rsidR="00231DB8" w:rsidRDefault="00AF2168" w:rsidP="00F10314">
      <w:pPr>
        <w:numPr>
          <w:ilvl w:val="0"/>
          <w:numId w:val="2"/>
        </w:numPr>
        <w:tabs>
          <w:tab w:val="num" w:pos="284"/>
        </w:tabs>
        <w:ind w:left="284" w:hanging="851"/>
        <w:jc w:val="both"/>
      </w:pPr>
      <w:r>
        <w:t>T</w:t>
      </w:r>
      <w:r w:rsidR="00231DB8" w:rsidRPr="00231DB8">
        <w:t xml:space="preserve">he </w:t>
      </w:r>
      <w:r w:rsidR="00231DB8">
        <w:t>A</w:t>
      </w:r>
      <w:r w:rsidR="00231DB8" w:rsidRPr="00231DB8">
        <w:t xml:space="preserve">BS includes </w:t>
      </w:r>
      <w:r w:rsidR="00231DB8">
        <w:t>a</w:t>
      </w:r>
      <w:r w:rsidR="00231DB8" w:rsidRPr="00231DB8">
        <w:t xml:space="preserve"> projection of future benefits</w:t>
      </w:r>
      <w:r w:rsidR="00231DB8">
        <w:t>,</w:t>
      </w:r>
      <w:r w:rsidR="00231DB8" w:rsidRPr="00231DB8">
        <w:t xml:space="preserve"> members can expect to accrue until they reach their </w:t>
      </w:r>
      <w:r w:rsidR="00231DB8">
        <w:t>N</w:t>
      </w:r>
      <w:r w:rsidR="00231DB8" w:rsidRPr="00231DB8">
        <w:t xml:space="preserve">ormal </w:t>
      </w:r>
      <w:r w:rsidR="00231DB8">
        <w:t>Pension Age (N</w:t>
      </w:r>
      <w:r w:rsidR="00231DB8" w:rsidRPr="00231DB8">
        <w:t>PA</w:t>
      </w:r>
      <w:r w:rsidR="00231DB8">
        <w:t>).</w:t>
      </w:r>
      <w:r w:rsidR="00231DB8" w:rsidRPr="00231DB8">
        <w:t xml:space="preserve"> </w:t>
      </w:r>
      <w:r w:rsidR="00231DB8">
        <w:t>T</w:t>
      </w:r>
      <w:r w:rsidR="00231DB8" w:rsidRPr="00231DB8">
        <w:t xml:space="preserve">his allows </w:t>
      </w:r>
      <w:r w:rsidR="00231DB8">
        <w:t>scheme</w:t>
      </w:r>
      <w:r w:rsidR="00231DB8" w:rsidRPr="00231DB8">
        <w:t xml:space="preserve"> members to better plan for their retirement</w:t>
      </w:r>
      <w:r w:rsidR="00231DB8">
        <w:t>.</w:t>
      </w:r>
    </w:p>
    <w:p w14:paraId="21978538" w14:textId="77777777" w:rsidR="00231DB8" w:rsidRDefault="00231DB8" w:rsidP="00231DB8">
      <w:pPr>
        <w:ind w:left="284"/>
        <w:jc w:val="both"/>
      </w:pPr>
    </w:p>
    <w:p w14:paraId="126A0DEA" w14:textId="77777777" w:rsidR="00231DB8" w:rsidRDefault="00231DB8" w:rsidP="00F10314">
      <w:pPr>
        <w:numPr>
          <w:ilvl w:val="0"/>
          <w:numId w:val="2"/>
        </w:numPr>
        <w:tabs>
          <w:tab w:val="num" w:pos="284"/>
        </w:tabs>
        <w:ind w:left="284" w:hanging="851"/>
        <w:jc w:val="both"/>
      </w:pPr>
      <w:r>
        <w:t>A</w:t>
      </w:r>
      <w:r w:rsidRPr="00231DB8">
        <w:t>ccording to regulations this statement must be made available to members by 31 August each year</w:t>
      </w:r>
      <w:r>
        <w:t>.</w:t>
      </w:r>
    </w:p>
    <w:p w14:paraId="09A4922B" w14:textId="77777777" w:rsidR="00231DB8" w:rsidRDefault="00231DB8" w:rsidP="00231DB8">
      <w:pPr>
        <w:pStyle w:val="ListParagraph"/>
      </w:pPr>
    </w:p>
    <w:p w14:paraId="1107230F" w14:textId="6ACA9299" w:rsidR="00231DB8" w:rsidRDefault="00231DB8" w:rsidP="00F10314">
      <w:pPr>
        <w:numPr>
          <w:ilvl w:val="0"/>
          <w:numId w:val="2"/>
        </w:numPr>
        <w:tabs>
          <w:tab w:val="num" w:pos="284"/>
        </w:tabs>
        <w:ind w:left="284" w:hanging="851"/>
        <w:jc w:val="both"/>
      </w:pPr>
      <w:r>
        <w:t>S</w:t>
      </w:r>
      <w:r w:rsidRPr="00231DB8">
        <w:t>tatements for all members</w:t>
      </w:r>
      <w:r>
        <w:t xml:space="preserve"> (except Harrow active scheme members)</w:t>
      </w:r>
      <w:r w:rsidRPr="00231DB8">
        <w:t xml:space="preserve"> </w:t>
      </w:r>
      <w:r>
        <w:t>were</w:t>
      </w:r>
      <w:r w:rsidRPr="00231DB8">
        <w:t xml:space="preserve"> produced and made available to members via MSS portal or through the post</w:t>
      </w:r>
      <w:r>
        <w:t>. I</w:t>
      </w:r>
      <w:r w:rsidRPr="00231DB8">
        <w:t>nternal communication has been produced and circulated to inform members that their statement is ready and provide information on how to obtain it</w:t>
      </w:r>
      <w:r>
        <w:t>.</w:t>
      </w:r>
    </w:p>
    <w:p w14:paraId="7866FA7B" w14:textId="77777777" w:rsidR="00231DB8" w:rsidRDefault="00231DB8" w:rsidP="00231DB8">
      <w:pPr>
        <w:jc w:val="both"/>
      </w:pPr>
    </w:p>
    <w:p w14:paraId="7EBB9E80" w14:textId="745ACC16" w:rsidR="00231DB8" w:rsidRDefault="00231DB8" w:rsidP="00F10314">
      <w:pPr>
        <w:numPr>
          <w:ilvl w:val="0"/>
          <w:numId w:val="2"/>
        </w:numPr>
        <w:tabs>
          <w:tab w:val="num" w:pos="284"/>
        </w:tabs>
        <w:ind w:left="284" w:hanging="851"/>
        <w:jc w:val="both"/>
      </w:pPr>
      <w:r>
        <w:t xml:space="preserve">The team produced approx. 3,800 active statements and 7,015 deferred </w:t>
      </w:r>
      <w:r w:rsidR="00807A4C">
        <w:t>statements;</w:t>
      </w:r>
      <w:r>
        <w:t xml:space="preserve"> these have been issued</w:t>
      </w:r>
      <w:r w:rsidRPr="00231DB8">
        <w:t xml:space="preserve"> </w:t>
      </w:r>
      <w:r>
        <w:t>in line with the August 31st deadline.</w:t>
      </w:r>
    </w:p>
    <w:p w14:paraId="0C98EAF4" w14:textId="77777777" w:rsidR="00231DB8" w:rsidRDefault="00231DB8" w:rsidP="00231DB8">
      <w:pPr>
        <w:pStyle w:val="ListParagraph"/>
      </w:pPr>
    </w:p>
    <w:p w14:paraId="220FAC4B" w14:textId="059CB1DE" w:rsidR="00231DB8" w:rsidRDefault="00231DB8" w:rsidP="00F10314">
      <w:pPr>
        <w:numPr>
          <w:ilvl w:val="0"/>
          <w:numId w:val="2"/>
        </w:numPr>
        <w:tabs>
          <w:tab w:val="num" w:pos="284"/>
        </w:tabs>
        <w:ind w:left="284" w:hanging="851"/>
        <w:jc w:val="both"/>
      </w:pPr>
      <w:r>
        <w:t xml:space="preserve">Work continues in processing the remainder of over 1,900 ABS for LBH active members, this has been delayed due to the new Harrow payroll system and </w:t>
      </w:r>
      <w:r w:rsidR="00F27FEE">
        <w:t xml:space="preserve">it is estimated that </w:t>
      </w:r>
      <w:r>
        <w:t xml:space="preserve">all the outstanding statements </w:t>
      </w:r>
      <w:r w:rsidR="00807A4C">
        <w:t>will be</w:t>
      </w:r>
      <w:r>
        <w:t xml:space="preserve"> issued before 31</w:t>
      </w:r>
      <w:r w:rsidRPr="00231DB8">
        <w:rPr>
          <w:vertAlign w:val="superscript"/>
        </w:rPr>
        <w:t>st</w:t>
      </w:r>
      <w:r>
        <w:t xml:space="preserve"> October 2023. </w:t>
      </w:r>
    </w:p>
    <w:p w14:paraId="4E518B24" w14:textId="77777777" w:rsidR="00231DB8" w:rsidRDefault="00231DB8" w:rsidP="00231DB8">
      <w:pPr>
        <w:pStyle w:val="ListParagraph"/>
      </w:pPr>
    </w:p>
    <w:p w14:paraId="0FBA6EBE" w14:textId="77777777" w:rsidR="00231DB8" w:rsidRPr="00231DB8" w:rsidRDefault="00231DB8" w:rsidP="00231DB8">
      <w:pPr>
        <w:ind w:left="284"/>
        <w:jc w:val="both"/>
        <w:rPr>
          <w:b/>
          <w:bCs/>
        </w:rPr>
      </w:pPr>
      <w:r w:rsidRPr="00231DB8">
        <w:rPr>
          <w:b/>
          <w:bCs/>
        </w:rPr>
        <w:t xml:space="preserve">McCloud </w:t>
      </w:r>
    </w:p>
    <w:p w14:paraId="7E371588" w14:textId="77777777" w:rsidR="00231DB8" w:rsidRDefault="00231DB8" w:rsidP="00231DB8">
      <w:pPr>
        <w:pStyle w:val="ListParagraph"/>
      </w:pPr>
    </w:p>
    <w:p w14:paraId="3ABD4C32" w14:textId="4E69F5DE" w:rsidR="00231DB8" w:rsidRDefault="00231DB8" w:rsidP="00F10314">
      <w:pPr>
        <w:numPr>
          <w:ilvl w:val="0"/>
          <w:numId w:val="2"/>
        </w:numPr>
        <w:tabs>
          <w:tab w:val="num" w:pos="284"/>
        </w:tabs>
        <w:ind w:left="284" w:hanging="851"/>
        <w:jc w:val="both"/>
      </w:pPr>
      <w:r w:rsidRPr="00231DB8">
        <w:t>On 17 March 2022</w:t>
      </w:r>
      <w:r>
        <w:t>,</w:t>
      </w:r>
      <w:r w:rsidRPr="00231DB8">
        <w:t xml:space="preserve"> the </w:t>
      </w:r>
      <w:r>
        <w:t>P</w:t>
      </w:r>
      <w:r w:rsidRPr="00231DB8">
        <w:t xml:space="preserve">ublic </w:t>
      </w:r>
      <w:r>
        <w:t>S</w:t>
      </w:r>
      <w:r w:rsidRPr="00231DB8">
        <w:t xml:space="preserve">ervice </w:t>
      </w:r>
      <w:r>
        <w:t>P</w:t>
      </w:r>
      <w:r w:rsidRPr="00231DB8">
        <w:t xml:space="preserve">ensions and </w:t>
      </w:r>
      <w:r>
        <w:t>J</w:t>
      </w:r>
      <w:r w:rsidRPr="00231DB8">
        <w:t xml:space="preserve">udicial </w:t>
      </w:r>
      <w:r>
        <w:t>O</w:t>
      </w:r>
      <w:r w:rsidRPr="00231DB8">
        <w:t xml:space="preserve">ffices </w:t>
      </w:r>
      <w:r>
        <w:t>A</w:t>
      </w:r>
      <w:r w:rsidRPr="00231DB8">
        <w:t xml:space="preserve">ct 2022 received </w:t>
      </w:r>
      <w:r>
        <w:t>R</w:t>
      </w:r>
      <w:r w:rsidRPr="00231DB8">
        <w:t xml:space="preserve">oyal </w:t>
      </w:r>
      <w:r>
        <w:t>A</w:t>
      </w:r>
      <w:r w:rsidRPr="00231DB8">
        <w:t>ssent and became law</w:t>
      </w:r>
      <w:r>
        <w:t>. I</w:t>
      </w:r>
      <w:r w:rsidRPr="00231DB8">
        <w:t>n mid-July 2022</w:t>
      </w:r>
      <w:r>
        <w:t>,</w:t>
      </w:r>
      <w:r w:rsidRPr="00231DB8">
        <w:t xml:space="preserve"> the </w:t>
      </w:r>
      <w:r>
        <w:t>D</w:t>
      </w:r>
      <w:r w:rsidRPr="00231DB8">
        <w:t xml:space="preserve">epartment for </w:t>
      </w:r>
      <w:r>
        <w:t>L</w:t>
      </w:r>
      <w:r w:rsidRPr="00231DB8">
        <w:t xml:space="preserve">evelling </w:t>
      </w:r>
      <w:r>
        <w:t>U</w:t>
      </w:r>
      <w:r w:rsidRPr="00231DB8">
        <w:t>p</w:t>
      </w:r>
      <w:r>
        <w:t>,</w:t>
      </w:r>
      <w:r w:rsidRPr="00231DB8">
        <w:t xml:space="preserve"> </w:t>
      </w:r>
      <w:r>
        <w:t>H</w:t>
      </w:r>
      <w:r w:rsidRPr="00231DB8">
        <w:t xml:space="preserve">ousing and </w:t>
      </w:r>
      <w:r>
        <w:t>C</w:t>
      </w:r>
      <w:r w:rsidRPr="00231DB8">
        <w:t xml:space="preserve">ommunities </w:t>
      </w:r>
      <w:r>
        <w:t>(</w:t>
      </w:r>
      <w:r w:rsidRPr="00231DB8">
        <w:t>DLUHC</w:t>
      </w:r>
      <w:r>
        <w:t>)</w:t>
      </w:r>
      <w:r w:rsidRPr="00231DB8">
        <w:t xml:space="preserve"> provided an update on its work to rectify the </w:t>
      </w:r>
      <w:r>
        <w:t>“</w:t>
      </w:r>
      <w:r w:rsidRPr="00231DB8">
        <w:t>McCloud</w:t>
      </w:r>
      <w:r>
        <w:t>”</w:t>
      </w:r>
      <w:r w:rsidRPr="00231DB8">
        <w:t xml:space="preserve"> age discrimination across all affected public service pension schemes</w:t>
      </w:r>
      <w:r>
        <w:t>,</w:t>
      </w:r>
      <w:r w:rsidRPr="00231DB8">
        <w:t xml:space="preserve"> including the LGPS</w:t>
      </w:r>
      <w:r>
        <w:t>. I</w:t>
      </w:r>
      <w:r w:rsidRPr="00231DB8">
        <w:t xml:space="preserve">n relation to the LGPS the </w:t>
      </w:r>
      <w:r>
        <w:t>G</w:t>
      </w:r>
      <w:r w:rsidRPr="00231DB8">
        <w:t>overnment</w:t>
      </w:r>
      <w:r>
        <w:t>’s</w:t>
      </w:r>
      <w:r w:rsidRPr="00231DB8">
        <w:t xml:space="preserve"> consultation closed at the end of June</w:t>
      </w:r>
      <w:r>
        <w:t>,</w:t>
      </w:r>
      <w:r w:rsidRPr="00231DB8">
        <w:t xml:space="preserve"> with the </w:t>
      </w:r>
      <w:r>
        <w:t>G</w:t>
      </w:r>
      <w:r w:rsidRPr="00231DB8">
        <w:t xml:space="preserve">overnment </w:t>
      </w:r>
      <w:r w:rsidR="00B06749">
        <w:t xml:space="preserve">finalisation of </w:t>
      </w:r>
      <w:r w:rsidRPr="00231DB8">
        <w:t>the regulations in early September</w:t>
      </w:r>
      <w:r w:rsidR="00B06749">
        <w:t xml:space="preserve">, making it to be </w:t>
      </w:r>
      <w:r w:rsidRPr="00231DB8">
        <w:t xml:space="preserve">into force </w:t>
      </w:r>
      <w:r w:rsidR="00B06749">
        <w:t>from</w:t>
      </w:r>
      <w:r w:rsidRPr="00231DB8">
        <w:t xml:space="preserve"> 1 October 2023</w:t>
      </w:r>
      <w:r>
        <w:t xml:space="preserve">. </w:t>
      </w:r>
      <w:r w:rsidR="00B06749">
        <w:t>DLUHC</w:t>
      </w:r>
      <w:r w:rsidRPr="00231DB8">
        <w:t xml:space="preserve"> plans to </w:t>
      </w:r>
      <w:r>
        <w:t>‘</w:t>
      </w:r>
      <w:r w:rsidRPr="00231DB8">
        <w:t>establish a guidance working group</w:t>
      </w:r>
      <w:r>
        <w:t>’ with</w:t>
      </w:r>
      <w:r w:rsidRPr="00231DB8">
        <w:t xml:space="preserve"> the LGPS </w:t>
      </w:r>
      <w:r>
        <w:t>S</w:t>
      </w:r>
      <w:r w:rsidRPr="00231DB8">
        <w:t xml:space="preserve">cheme Advisory Board </w:t>
      </w:r>
      <w:r>
        <w:t>(SAB)</w:t>
      </w:r>
      <w:r w:rsidRPr="00231DB8">
        <w:t xml:space="preserve"> to consider what guidance is required</w:t>
      </w:r>
      <w:r w:rsidR="00B06749">
        <w:t>, no further update on this at the time of report writing.</w:t>
      </w:r>
    </w:p>
    <w:p w14:paraId="7D1350CC" w14:textId="77777777" w:rsidR="00231DB8" w:rsidRDefault="00231DB8" w:rsidP="00231DB8">
      <w:pPr>
        <w:ind w:left="284"/>
        <w:jc w:val="both"/>
      </w:pPr>
    </w:p>
    <w:p w14:paraId="4FAA09E9" w14:textId="05877B51" w:rsidR="00231DB8" w:rsidRDefault="00231DB8" w:rsidP="00F10314">
      <w:pPr>
        <w:numPr>
          <w:ilvl w:val="0"/>
          <w:numId w:val="2"/>
        </w:numPr>
        <w:tabs>
          <w:tab w:val="num" w:pos="284"/>
        </w:tabs>
        <w:ind w:left="284" w:hanging="851"/>
        <w:jc w:val="both"/>
      </w:pPr>
      <w:r>
        <w:t>S</w:t>
      </w:r>
      <w:r w:rsidRPr="00231DB8">
        <w:t>tarting from 1 October 2023</w:t>
      </w:r>
      <w:r>
        <w:t>,</w:t>
      </w:r>
      <w:r w:rsidRPr="00231DB8">
        <w:t xml:space="preserve"> the LGPS McCloud remedy regulations will be implemented</w:t>
      </w:r>
      <w:r>
        <w:t>. A</w:t>
      </w:r>
      <w:r w:rsidRPr="00231DB8">
        <w:t>fter th</w:t>
      </w:r>
      <w:r>
        <w:t>i</w:t>
      </w:r>
      <w:r w:rsidRPr="00231DB8">
        <w:t>s date</w:t>
      </w:r>
      <w:r>
        <w:t>,</w:t>
      </w:r>
      <w:r w:rsidRPr="00231DB8">
        <w:t xml:space="preserve"> the scheme will be required to begin recalculating benefits for affected members according to the McCloud guidelines</w:t>
      </w:r>
      <w:r>
        <w:t>.</w:t>
      </w:r>
      <w:r w:rsidRPr="00231DB8">
        <w:t xml:space="preserve"> </w:t>
      </w:r>
      <w:r>
        <w:t>T</w:t>
      </w:r>
      <w:r w:rsidRPr="00231DB8">
        <w:t>he scheme will contact these members directly</w:t>
      </w:r>
      <w:r>
        <w:t>.</w:t>
      </w:r>
    </w:p>
    <w:p w14:paraId="39928527" w14:textId="77777777" w:rsidR="00231DB8" w:rsidRDefault="00231DB8" w:rsidP="00231DB8">
      <w:pPr>
        <w:jc w:val="both"/>
      </w:pPr>
    </w:p>
    <w:p w14:paraId="30B276C4" w14:textId="589371E1" w:rsidR="00231DB8" w:rsidRDefault="00231DB8" w:rsidP="00F10314">
      <w:pPr>
        <w:numPr>
          <w:ilvl w:val="0"/>
          <w:numId w:val="2"/>
        </w:numPr>
        <w:tabs>
          <w:tab w:val="num" w:pos="284"/>
        </w:tabs>
        <w:ind w:left="284" w:hanging="851"/>
        <w:jc w:val="both"/>
      </w:pPr>
      <w:r>
        <w:t>O</w:t>
      </w:r>
      <w:r w:rsidRPr="00231DB8">
        <w:t>fficers have undertaken some preliminary work to identify the affected members ahead of the implementation date</w:t>
      </w:r>
      <w:r>
        <w:t>. T</w:t>
      </w:r>
      <w:r w:rsidRPr="00231DB8">
        <w:t xml:space="preserve">he guidance sets out the </w:t>
      </w:r>
      <w:r w:rsidRPr="00231DB8">
        <w:lastRenderedPageBreak/>
        <w:t>available options administering authorities may consider if they are unable to collect the necessary data to implement the McCloud remedy.</w:t>
      </w:r>
    </w:p>
    <w:p w14:paraId="14707CA0" w14:textId="2E5DCF83" w:rsidR="00231DB8" w:rsidRDefault="00231DB8" w:rsidP="00F10314">
      <w:pPr>
        <w:numPr>
          <w:ilvl w:val="0"/>
          <w:numId w:val="2"/>
        </w:numPr>
        <w:tabs>
          <w:tab w:val="num" w:pos="284"/>
        </w:tabs>
        <w:ind w:left="284" w:hanging="851"/>
        <w:jc w:val="both"/>
      </w:pPr>
      <w:r>
        <w:t>I</w:t>
      </w:r>
      <w:r w:rsidRPr="00231DB8">
        <w:t>t is anticipated that the implementation of the proposed remedial regulations will be both complex and time consuming</w:t>
      </w:r>
      <w:r>
        <w:t>. A</w:t>
      </w:r>
      <w:r w:rsidRPr="00231DB8">
        <w:t>dditional resources are likely to be required to undertake this work</w:t>
      </w:r>
      <w:r>
        <w:t>.</w:t>
      </w:r>
    </w:p>
    <w:p w14:paraId="5FEE970D" w14:textId="77777777" w:rsidR="00231DB8" w:rsidRDefault="00231DB8" w:rsidP="00231DB8">
      <w:pPr>
        <w:ind w:left="284"/>
        <w:jc w:val="both"/>
      </w:pPr>
    </w:p>
    <w:p w14:paraId="437BE308" w14:textId="5512A87A" w:rsidR="00231DB8" w:rsidRDefault="00231DB8" w:rsidP="00F10314">
      <w:pPr>
        <w:numPr>
          <w:ilvl w:val="0"/>
          <w:numId w:val="2"/>
        </w:numPr>
        <w:tabs>
          <w:tab w:val="num" w:pos="284"/>
        </w:tabs>
        <w:ind w:left="284" w:hanging="851"/>
        <w:jc w:val="both"/>
      </w:pPr>
      <w:r>
        <w:t>O</w:t>
      </w:r>
      <w:r w:rsidRPr="00231DB8">
        <w:t xml:space="preserve">fficers will continue to keep the </w:t>
      </w:r>
      <w:r>
        <w:t>P</w:t>
      </w:r>
      <w:r w:rsidRPr="00231DB8">
        <w:t xml:space="preserve">ensions </w:t>
      </w:r>
      <w:r>
        <w:t>C</w:t>
      </w:r>
      <w:r w:rsidRPr="00231DB8">
        <w:t xml:space="preserve">ommittee and the </w:t>
      </w:r>
      <w:r>
        <w:t>B</w:t>
      </w:r>
      <w:r w:rsidRPr="00231DB8">
        <w:t>oard informed of developments related to McCloud remedy activities an</w:t>
      </w:r>
      <w:r>
        <w:t>d</w:t>
      </w:r>
      <w:r w:rsidRPr="00231DB8">
        <w:t xml:space="preserve"> update on any additional resource requirements when identified</w:t>
      </w:r>
      <w:r>
        <w:t>.</w:t>
      </w:r>
    </w:p>
    <w:p w14:paraId="7725AA25" w14:textId="77777777" w:rsidR="00231DB8" w:rsidRDefault="00231DB8" w:rsidP="00231DB8">
      <w:pPr>
        <w:ind w:left="284"/>
        <w:jc w:val="both"/>
      </w:pPr>
    </w:p>
    <w:p w14:paraId="6E3464F2" w14:textId="3447F3E1" w:rsidR="00231DB8" w:rsidRDefault="00231DB8" w:rsidP="00F10314">
      <w:pPr>
        <w:numPr>
          <w:ilvl w:val="0"/>
          <w:numId w:val="2"/>
        </w:numPr>
        <w:tabs>
          <w:tab w:val="num" w:pos="284"/>
        </w:tabs>
        <w:ind w:left="284" w:hanging="851"/>
        <w:jc w:val="both"/>
      </w:pPr>
      <w:r>
        <w:t xml:space="preserve">The team will continue to liaise with employers to support employers who have not yet provided the necessary data. For those who are unable to or do not hold the necessary data, SAB has issued a guidance on how to deal with these and it will be factored into the remediation plans. </w:t>
      </w:r>
    </w:p>
    <w:p w14:paraId="6B118B74" w14:textId="77777777" w:rsidR="00231DB8" w:rsidRDefault="00231DB8" w:rsidP="00231DB8">
      <w:pPr>
        <w:pStyle w:val="ListParagraph"/>
      </w:pPr>
    </w:p>
    <w:p w14:paraId="4B994373" w14:textId="296E4DCB" w:rsidR="00231DB8" w:rsidRDefault="00231DB8" w:rsidP="006B274F">
      <w:pPr>
        <w:numPr>
          <w:ilvl w:val="0"/>
          <w:numId w:val="2"/>
        </w:numPr>
        <w:tabs>
          <w:tab w:val="num" w:pos="284"/>
        </w:tabs>
        <w:ind w:left="284" w:hanging="851"/>
        <w:jc w:val="both"/>
      </w:pPr>
      <w:r>
        <w:t xml:space="preserve">Work is still ongoing with our third-party supplier, who is carrying out data quality checks on all employer returns. After initial assessments it was recognised, key data was missing from some employers. </w:t>
      </w:r>
      <w:r w:rsidRPr="00231DB8">
        <w:t>We will have an idea on benefits affected after this has been interfaced.</w:t>
      </w:r>
    </w:p>
    <w:p w14:paraId="1E898514" w14:textId="77777777" w:rsidR="00231DB8" w:rsidRDefault="00231DB8" w:rsidP="00231DB8">
      <w:pPr>
        <w:pStyle w:val="ListParagraph"/>
      </w:pPr>
    </w:p>
    <w:p w14:paraId="3B7534AA" w14:textId="77777777" w:rsidR="00231DB8" w:rsidRPr="00231DB8" w:rsidRDefault="00231DB8" w:rsidP="00231DB8">
      <w:pPr>
        <w:ind w:left="284"/>
        <w:jc w:val="both"/>
        <w:rPr>
          <w:b/>
          <w:bCs/>
        </w:rPr>
      </w:pPr>
      <w:r w:rsidRPr="00231DB8">
        <w:rPr>
          <w:b/>
          <w:bCs/>
        </w:rPr>
        <w:t xml:space="preserve">Pension Dashboard </w:t>
      </w:r>
    </w:p>
    <w:p w14:paraId="2ADFD95A" w14:textId="77777777" w:rsidR="00231DB8" w:rsidRDefault="00231DB8" w:rsidP="00231DB8">
      <w:pPr>
        <w:ind w:left="284"/>
        <w:jc w:val="both"/>
      </w:pPr>
    </w:p>
    <w:p w14:paraId="0C48A4CF" w14:textId="1C22F0A6" w:rsidR="00231DB8" w:rsidRDefault="00231DB8" w:rsidP="00F10314">
      <w:pPr>
        <w:numPr>
          <w:ilvl w:val="0"/>
          <w:numId w:val="2"/>
        </w:numPr>
        <w:tabs>
          <w:tab w:val="num" w:pos="284"/>
        </w:tabs>
        <w:ind w:left="284" w:hanging="851"/>
        <w:jc w:val="both"/>
      </w:pPr>
      <w:r>
        <w:t xml:space="preserve">Pension Dashboards are digital services (websites, apps or other tools) which individuals will be able to use to see all their pension information in one place, including their State Pension. </w:t>
      </w:r>
    </w:p>
    <w:p w14:paraId="0376D578" w14:textId="77777777" w:rsidR="00231DB8" w:rsidRDefault="00231DB8" w:rsidP="00231DB8">
      <w:pPr>
        <w:ind w:left="284"/>
        <w:jc w:val="both"/>
      </w:pPr>
    </w:p>
    <w:p w14:paraId="1A02342F" w14:textId="77777777" w:rsidR="00231DB8" w:rsidRDefault="00231DB8" w:rsidP="00F10314">
      <w:pPr>
        <w:numPr>
          <w:ilvl w:val="0"/>
          <w:numId w:val="2"/>
        </w:numPr>
        <w:tabs>
          <w:tab w:val="num" w:pos="284"/>
        </w:tabs>
        <w:ind w:left="284" w:hanging="851"/>
        <w:jc w:val="both"/>
      </w:pPr>
      <w:r>
        <w:t xml:space="preserve">The Money and Pensions Service (MaPS) will host its own dashboard on the MoneyHelper website and other organisations will host their own dashboards, subject to approval and regulation by the Financial Conduct Authority (FCA). </w:t>
      </w:r>
    </w:p>
    <w:p w14:paraId="3BCB3CEA" w14:textId="77777777" w:rsidR="00231DB8" w:rsidRDefault="00231DB8" w:rsidP="00231DB8">
      <w:pPr>
        <w:ind w:left="284"/>
        <w:jc w:val="both"/>
      </w:pPr>
    </w:p>
    <w:p w14:paraId="5AF5CB94" w14:textId="77777777" w:rsidR="00231DB8" w:rsidRDefault="00231DB8" w:rsidP="00F10314">
      <w:pPr>
        <w:numPr>
          <w:ilvl w:val="0"/>
          <w:numId w:val="2"/>
        </w:numPr>
        <w:tabs>
          <w:tab w:val="num" w:pos="284"/>
        </w:tabs>
        <w:ind w:left="284" w:hanging="851"/>
        <w:jc w:val="both"/>
      </w:pPr>
      <w:r>
        <w:t xml:space="preserve">The Pensions Dashboard Programme (PDP) has been set up by MaPS who are responsible for developing the dashboards ecosystem which enables individuals to view their pension data online. </w:t>
      </w:r>
    </w:p>
    <w:p w14:paraId="228FDCC9" w14:textId="77777777" w:rsidR="00231DB8" w:rsidRDefault="00231DB8" w:rsidP="00231DB8">
      <w:pPr>
        <w:pStyle w:val="ListParagraph"/>
      </w:pPr>
    </w:p>
    <w:p w14:paraId="4D979659" w14:textId="00E802D0" w:rsidR="00231DB8" w:rsidRDefault="00231DB8" w:rsidP="00F10314">
      <w:pPr>
        <w:numPr>
          <w:ilvl w:val="0"/>
          <w:numId w:val="2"/>
        </w:numPr>
        <w:tabs>
          <w:tab w:val="num" w:pos="284"/>
        </w:tabs>
        <w:ind w:left="284" w:hanging="851"/>
        <w:jc w:val="both"/>
      </w:pPr>
      <w:r>
        <w:t>Pension Funds will need to connect with and supply pensions information to dashboards from their scheme-specific staging deadline. Schemes will connect over time according to their type and size. The date dashboards will be launched to the public (known as the “Dashboards Available Point”) will be advised by DWP.</w:t>
      </w:r>
    </w:p>
    <w:p w14:paraId="78A53E5B" w14:textId="77777777" w:rsidR="00231DB8" w:rsidRDefault="00231DB8" w:rsidP="00231DB8">
      <w:pPr>
        <w:pStyle w:val="ListParagraph"/>
      </w:pPr>
    </w:p>
    <w:p w14:paraId="76563386" w14:textId="77777777" w:rsidR="00231DB8" w:rsidRDefault="00231DB8" w:rsidP="00231DB8">
      <w:pPr>
        <w:numPr>
          <w:ilvl w:val="0"/>
          <w:numId w:val="2"/>
        </w:numPr>
        <w:tabs>
          <w:tab w:val="num" w:pos="284"/>
        </w:tabs>
        <w:ind w:left="284" w:hanging="851"/>
        <w:jc w:val="both"/>
      </w:pPr>
      <w:r>
        <w:t>The recent announcement in June 2023 has confirmed go live date for the dashboard will be delayed. Whilst a connection deadline has been set for all schemes by 31</w:t>
      </w:r>
      <w:r w:rsidRPr="00231DB8">
        <w:rPr>
          <w:vertAlign w:val="superscript"/>
        </w:rPr>
        <w:t>st</w:t>
      </w:r>
      <w:r>
        <w:t xml:space="preserve"> October 2026, a transition plan is expected in the coming months, detailing specific dates for all schemes.</w:t>
      </w:r>
    </w:p>
    <w:p w14:paraId="5A5CCEA5" w14:textId="3A350758" w:rsidR="00231DB8" w:rsidRDefault="00231DB8" w:rsidP="00231DB8">
      <w:pPr>
        <w:jc w:val="both"/>
      </w:pPr>
      <w:r>
        <w:t xml:space="preserve"> </w:t>
      </w:r>
    </w:p>
    <w:p w14:paraId="7F43B225" w14:textId="64038F4B" w:rsidR="00231DB8" w:rsidRDefault="00231DB8" w:rsidP="00F10314">
      <w:pPr>
        <w:numPr>
          <w:ilvl w:val="0"/>
          <w:numId w:val="2"/>
        </w:numPr>
        <w:tabs>
          <w:tab w:val="num" w:pos="284"/>
        </w:tabs>
        <w:ind w:left="284" w:hanging="851"/>
        <w:jc w:val="both"/>
      </w:pPr>
      <w:r>
        <w:t xml:space="preserve">Whilst there has been a delay, the timeline is not expected to drastically change and therefore, work will continue with data cleansing to support the dashboard readiness. The team will use this extended period to rectify data discrepancies and, further embed data cleansing into day-to-day operations. </w:t>
      </w:r>
    </w:p>
    <w:p w14:paraId="602B2D8F" w14:textId="77777777" w:rsidR="00231DB8" w:rsidRDefault="00231DB8" w:rsidP="00231DB8">
      <w:pPr>
        <w:pStyle w:val="ListParagraph"/>
      </w:pPr>
    </w:p>
    <w:p w14:paraId="7E095D88" w14:textId="77777777" w:rsidR="00807A4C" w:rsidRDefault="00807A4C" w:rsidP="00231DB8">
      <w:pPr>
        <w:ind w:left="284"/>
        <w:jc w:val="both"/>
        <w:rPr>
          <w:b/>
          <w:bCs/>
        </w:rPr>
      </w:pPr>
    </w:p>
    <w:p w14:paraId="2DC727BF" w14:textId="77777777" w:rsidR="00807A4C" w:rsidRDefault="00807A4C" w:rsidP="00231DB8">
      <w:pPr>
        <w:ind w:left="284"/>
        <w:jc w:val="both"/>
        <w:rPr>
          <w:b/>
          <w:bCs/>
        </w:rPr>
      </w:pPr>
    </w:p>
    <w:p w14:paraId="40FF3878" w14:textId="485631F4" w:rsidR="00231DB8" w:rsidRPr="00231DB8" w:rsidRDefault="00231DB8" w:rsidP="00231DB8">
      <w:pPr>
        <w:ind w:left="284"/>
        <w:jc w:val="both"/>
        <w:rPr>
          <w:b/>
          <w:bCs/>
        </w:rPr>
      </w:pPr>
      <w:r w:rsidRPr="00231DB8">
        <w:rPr>
          <w:b/>
          <w:bCs/>
        </w:rPr>
        <w:lastRenderedPageBreak/>
        <w:t xml:space="preserve">Member Self Service (MSS) Roll Out </w:t>
      </w:r>
    </w:p>
    <w:p w14:paraId="1A26324E" w14:textId="77777777" w:rsidR="00231DB8" w:rsidRDefault="00231DB8" w:rsidP="00231DB8">
      <w:pPr>
        <w:pStyle w:val="ListParagraph"/>
      </w:pPr>
    </w:p>
    <w:p w14:paraId="7C0DCE8F" w14:textId="2FF38440" w:rsidR="00231DB8" w:rsidRDefault="00231DB8" w:rsidP="00F10314">
      <w:pPr>
        <w:numPr>
          <w:ilvl w:val="0"/>
          <w:numId w:val="2"/>
        </w:numPr>
        <w:tabs>
          <w:tab w:val="num" w:pos="284"/>
        </w:tabs>
        <w:ind w:left="284" w:hanging="851"/>
        <w:jc w:val="both"/>
      </w:pPr>
      <w:r w:rsidRPr="00231DB8">
        <w:t xml:space="preserve">The </w:t>
      </w:r>
      <w:r>
        <w:t>M</w:t>
      </w:r>
      <w:r w:rsidRPr="00231DB8">
        <w:t xml:space="preserve">ember </w:t>
      </w:r>
      <w:r>
        <w:t>S</w:t>
      </w:r>
      <w:r w:rsidRPr="00231DB8">
        <w:t>elf</w:t>
      </w:r>
      <w:r>
        <w:t xml:space="preserve"> S</w:t>
      </w:r>
      <w:r w:rsidRPr="00231DB8">
        <w:t xml:space="preserve">ervice </w:t>
      </w:r>
      <w:r>
        <w:t>(</w:t>
      </w:r>
      <w:r w:rsidRPr="00231DB8">
        <w:t>M</w:t>
      </w:r>
      <w:r>
        <w:t>SS)</w:t>
      </w:r>
      <w:r w:rsidRPr="00231DB8">
        <w:t xml:space="preserve"> </w:t>
      </w:r>
      <w:r>
        <w:t>p</w:t>
      </w:r>
      <w:r w:rsidRPr="00231DB8">
        <w:t>ort</w:t>
      </w:r>
      <w:r>
        <w:t>al</w:t>
      </w:r>
      <w:r w:rsidRPr="00231DB8">
        <w:t xml:space="preserve"> is a pension scheme website that members can register an account w</w:t>
      </w:r>
      <w:r>
        <w:t>ith</w:t>
      </w:r>
      <w:r w:rsidRPr="00231DB8">
        <w:t xml:space="preserve"> to view </w:t>
      </w:r>
      <w:r>
        <w:t xml:space="preserve">and </w:t>
      </w:r>
      <w:r w:rsidRPr="00231DB8">
        <w:t>edit their personal information as well as running their own retirement estimates</w:t>
      </w:r>
      <w:r>
        <w:t>.</w:t>
      </w:r>
    </w:p>
    <w:p w14:paraId="2C2559A0" w14:textId="77777777" w:rsidR="00231DB8" w:rsidRDefault="00231DB8" w:rsidP="00231DB8">
      <w:pPr>
        <w:ind w:left="284"/>
        <w:jc w:val="both"/>
      </w:pPr>
    </w:p>
    <w:p w14:paraId="779D1492" w14:textId="58E66090" w:rsidR="00231DB8" w:rsidRDefault="00231DB8" w:rsidP="00F10314">
      <w:pPr>
        <w:numPr>
          <w:ilvl w:val="0"/>
          <w:numId w:val="2"/>
        </w:numPr>
        <w:tabs>
          <w:tab w:val="num" w:pos="284"/>
        </w:tabs>
        <w:ind w:left="284" w:hanging="851"/>
        <w:jc w:val="both"/>
      </w:pPr>
      <w:r>
        <w:t>The roll out of MSS continues, take up has been significantly good.</w:t>
      </w:r>
    </w:p>
    <w:p w14:paraId="663D0AE0" w14:textId="77777777" w:rsidR="00231DB8" w:rsidRDefault="00231DB8" w:rsidP="00231DB8">
      <w:pPr>
        <w:ind w:left="284"/>
        <w:jc w:val="both"/>
      </w:pPr>
    </w:p>
    <w:p w14:paraId="05C7BB45" w14:textId="3DC6F749" w:rsidR="00231DB8" w:rsidRPr="00231DB8" w:rsidRDefault="00231DB8" w:rsidP="00231DB8">
      <w:pPr>
        <w:ind w:left="284"/>
        <w:jc w:val="both"/>
        <w:rPr>
          <w:b/>
          <w:bCs/>
        </w:rPr>
      </w:pPr>
      <w:r w:rsidRPr="00231DB8">
        <w:rPr>
          <w:b/>
          <w:bCs/>
        </w:rPr>
        <w:t xml:space="preserve">Cost of Living </w:t>
      </w:r>
    </w:p>
    <w:p w14:paraId="7C8EC7EE" w14:textId="7C4B0894" w:rsidR="00231DB8" w:rsidRDefault="00231DB8" w:rsidP="00F10314">
      <w:pPr>
        <w:numPr>
          <w:ilvl w:val="0"/>
          <w:numId w:val="2"/>
        </w:numPr>
        <w:tabs>
          <w:tab w:val="num" w:pos="284"/>
        </w:tabs>
        <w:ind w:left="284" w:hanging="851"/>
        <w:jc w:val="both"/>
      </w:pPr>
      <w:r>
        <w:t>Through various channels such as newsletters, annual benefit statements and by attending wellbeing events where possible, the service continues to provide support and guidance to members and employers, in relation to the current financial climate.</w:t>
      </w:r>
    </w:p>
    <w:p w14:paraId="0FE3E462" w14:textId="77777777" w:rsidR="00231DB8" w:rsidRDefault="00231DB8" w:rsidP="00231DB8">
      <w:pPr>
        <w:ind w:left="284"/>
        <w:jc w:val="both"/>
      </w:pPr>
    </w:p>
    <w:p w14:paraId="72C7FC33" w14:textId="0943FA3E" w:rsidR="00231DB8" w:rsidRDefault="00231DB8" w:rsidP="00F10314">
      <w:pPr>
        <w:numPr>
          <w:ilvl w:val="0"/>
          <w:numId w:val="2"/>
        </w:numPr>
        <w:tabs>
          <w:tab w:val="num" w:pos="284"/>
        </w:tabs>
        <w:ind w:left="284" w:hanging="851"/>
        <w:jc w:val="both"/>
      </w:pPr>
      <w:r>
        <w:t xml:space="preserve">The LGA previously requested from all schemes within the LGPS to review their membership and identity any trends where this may have impacted scheme opt outs or moves to the 50:50 scheme. </w:t>
      </w:r>
    </w:p>
    <w:p w14:paraId="72CBA348" w14:textId="77777777" w:rsidR="00231DB8" w:rsidRDefault="00231DB8" w:rsidP="00231DB8">
      <w:pPr>
        <w:ind w:left="284"/>
        <w:jc w:val="both"/>
      </w:pPr>
    </w:p>
    <w:p w14:paraId="6595196A" w14:textId="570D0805" w:rsidR="00231DB8" w:rsidRDefault="00231DB8" w:rsidP="00F10314">
      <w:pPr>
        <w:numPr>
          <w:ilvl w:val="0"/>
          <w:numId w:val="2"/>
        </w:numPr>
        <w:tabs>
          <w:tab w:val="num" w:pos="284"/>
        </w:tabs>
        <w:ind w:left="284" w:hanging="851"/>
        <w:jc w:val="both"/>
      </w:pPr>
      <w:r>
        <w:t>Details of this can be found below and show no obvious links at this stage.</w:t>
      </w:r>
    </w:p>
    <w:p w14:paraId="12E84CB8" w14:textId="77777777" w:rsidR="00231DB8" w:rsidRDefault="00231DB8" w:rsidP="00231DB8">
      <w:pPr>
        <w:pStyle w:val="ListParagraph"/>
        <w:ind w:left="284"/>
        <w:rPr>
          <w:rFonts w:eastAsia="Times New Roman"/>
          <w:b/>
          <w:bCs/>
          <w:color w:val="auto"/>
          <w:sz w:val="24"/>
          <w:szCs w:val="24"/>
        </w:rPr>
      </w:pPr>
    </w:p>
    <w:p w14:paraId="37BD6058" w14:textId="3DB2E42C" w:rsidR="00231DB8" w:rsidRPr="00231DB8" w:rsidRDefault="00231DB8" w:rsidP="00231DB8">
      <w:pPr>
        <w:pStyle w:val="ListParagraph"/>
        <w:ind w:left="284"/>
        <w:rPr>
          <w:rFonts w:eastAsia="Times New Roman"/>
          <w:b/>
          <w:bCs/>
          <w:color w:val="auto"/>
          <w:sz w:val="24"/>
          <w:szCs w:val="24"/>
          <w:lang w:eastAsia="en-US"/>
        </w:rPr>
      </w:pPr>
      <w:r w:rsidRPr="00231DB8">
        <w:rPr>
          <w:rFonts w:eastAsia="Times New Roman"/>
          <w:b/>
          <w:bCs/>
          <w:color w:val="auto"/>
          <w:sz w:val="24"/>
          <w:szCs w:val="24"/>
        </w:rPr>
        <w:t>Trends of scheme opt outs or moves into 50/50</w:t>
      </w:r>
    </w:p>
    <w:p w14:paraId="3F766FFC" w14:textId="77777777" w:rsidR="00231DB8" w:rsidRDefault="00231DB8" w:rsidP="00231DB8">
      <w:pPr>
        <w:ind w:left="284"/>
        <w:rPr>
          <w:rFonts w:cs="Arial"/>
          <w:b/>
          <w:bCs/>
          <w:szCs w:val="24"/>
        </w:rPr>
      </w:pPr>
    </w:p>
    <w:p w14:paraId="7725E323" w14:textId="0A56D001" w:rsidR="00231DB8" w:rsidRPr="00231DB8" w:rsidRDefault="00231DB8" w:rsidP="00231DB8">
      <w:pPr>
        <w:ind w:left="284"/>
        <w:rPr>
          <w:rFonts w:eastAsiaTheme="minorHAnsi" w:cs="Arial"/>
          <w:b/>
          <w:bCs/>
          <w:szCs w:val="24"/>
        </w:rPr>
      </w:pPr>
      <w:r w:rsidRPr="00231DB8">
        <w:rPr>
          <w:rFonts w:cs="Arial"/>
          <w:b/>
          <w:bCs/>
          <w:szCs w:val="24"/>
        </w:rPr>
        <w:t>Financial Year ending</w:t>
      </w:r>
      <w:r>
        <w:rPr>
          <w:rFonts w:cs="Arial"/>
          <w:b/>
          <w:bCs/>
          <w:szCs w:val="24"/>
        </w:rPr>
        <w:t>; March</w:t>
      </w:r>
      <w:r w:rsidRPr="00231DB8">
        <w:rPr>
          <w:rFonts w:cs="Arial"/>
          <w:b/>
          <w:bCs/>
          <w:szCs w:val="24"/>
        </w:rPr>
        <w:t>:                          No. of opt out</w:t>
      </w:r>
    </w:p>
    <w:p w14:paraId="0387A763" w14:textId="3C9DBC8A" w:rsidR="00231DB8" w:rsidRPr="00231DB8" w:rsidRDefault="00231DB8" w:rsidP="00231DB8">
      <w:pPr>
        <w:ind w:left="284"/>
        <w:rPr>
          <w:rFonts w:cs="Arial"/>
          <w:szCs w:val="24"/>
        </w:rPr>
      </w:pPr>
      <w:r w:rsidRPr="00231DB8">
        <w:rPr>
          <w:rFonts w:cs="Arial"/>
          <w:szCs w:val="24"/>
        </w:rPr>
        <w:t>2019                                                               </w:t>
      </w:r>
      <w:r>
        <w:rPr>
          <w:rFonts w:cs="Arial"/>
          <w:szCs w:val="24"/>
        </w:rPr>
        <w:tab/>
      </w:r>
      <w:r>
        <w:rPr>
          <w:rFonts w:cs="Arial"/>
          <w:szCs w:val="24"/>
        </w:rPr>
        <w:tab/>
        <w:t xml:space="preserve">             208</w:t>
      </w:r>
    </w:p>
    <w:p w14:paraId="062D2336" w14:textId="5FA83A5E" w:rsidR="00231DB8" w:rsidRPr="00231DB8" w:rsidRDefault="00231DB8" w:rsidP="00231DB8">
      <w:pPr>
        <w:ind w:left="284"/>
        <w:rPr>
          <w:rFonts w:cs="Arial"/>
          <w:szCs w:val="24"/>
        </w:rPr>
      </w:pPr>
      <w:r w:rsidRPr="00231DB8">
        <w:rPr>
          <w:rFonts w:cs="Arial"/>
          <w:szCs w:val="24"/>
        </w:rPr>
        <w:t xml:space="preserve">2020                                                                 </w:t>
      </w:r>
      <w:r>
        <w:rPr>
          <w:rFonts w:cs="Arial"/>
          <w:szCs w:val="24"/>
        </w:rPr>
        <w:tab/>
      </w:r>
      <w:r>
        <w:rPr>
          <w:rFonts w:cs="Arial"/>
          <w:szCs w:val="24"/>
        </w:rPr>
        <w:tab/>
        <w:t xml:space="preserve">    </w:t>
      </w:r>
      <w:r w:rsidRPr="00231DB8">
        <w:rPr>
          <w:rFonts w:cs="Arial"/>
          <w:szCs w:val="24"/>
        </w:rPr>
        <w:t>47</w:t>
      </w:r>
    </w:p>
    <w:p w14:paraId="0CAC8279" w14:textId="5A505135" w:rsidR="00231DB8" w:rsidRPr="00231DB8" w:rsidRDefault="00231DB8" w:rsidP="00231DB8">
      <w:pPr>
        <w:ind w:left="284"/>
        <w:rPr>
          <w:rFonts w:cs="Arial"/>
          <w:szCs w:val="24"/>
        </w:rPr>
      </w:pPr>
      <w:r w:rsidRPr="00231DB8">
        <w:rPr>
          <w:rFonts w:cs="Arial"/>
          <w:szCs w:val="24"/>
        </w:rPr>
        <w:t>2021                                                                </w:t>
      </w:r>
      <w:r>
        <w:rPr>
          <w:rFonts w:cs="Arial"/>
          <w:szCs w:val="24"/>
        </w:rPr>
        <w:tab/>
      </w:r>
      <w:r>
        <w:rPr>
          <w:rFonts w:cs="Arial"/>
          <w:szCs w:val="24"/>
        </w:rPr>
        <w:tab/>
        <w:t xml:space="preserve">    </w:t>
      </w:r>
      <w:r w:rsidRPr="00231DB8">
        <w:rPr>
          <w:rFonts w:cs="Arial"/>
          <w:szCs w:val="24"/>
        </w:rPr>
        <w:t>54</w:t>
      </w:r>
    </w:p>
    <w:p w14:paraId="511603BE" w14:textId="1B61EFB4" w:rsidR="00231DB8" w:rsidRPr="00231DB8" w:rsidRDefault="00231DB8" w:rsidP="00231DB8">
      <w:pPr>
        <w:ind w:left="284"/>
        <w:rPr>
          <w:rFonts w:cs="Arial"/>
          <w:szCs w:val="24"/>
        </w:rPr>
      </w:pPr>
      <w:r w:rsidRPr="00231DB8">
        <w:rPr>
          <w:rFonts w:cs="Arial"/>
          <w:szCs w:val="24"/>
        </w:rPr>
        <w:t xml:space="preserve">2022                                                                 </w:t>
      </w:r>
      <w:r>
        <w:rPr>
          <w:rFonts w:cs="Arial"/>
          <w:szCs w:val="24"/>
        </w:rPr>
        <w:tab/>
      </w:r>
      <w:r>
        <w:rPr>
          <w:rFonts w:cs="Arial"/>
          <w:szCs w:val="24"/>
        </w:rPr>
        <w:tab/>
        <w:t xml:space="preserve">    </w:t>
      </w:r>
      <w:r w:rsidRPr="00231DB8">
        <w:rPr>
          <w:rFonts w:cs="Arial"/>
          <w:szCs w:val="24"/>
        </w:rPr>
        <w:t>87</w:t>
      </w:r>
    </w:p>
    <w:p w14:paraId="549A7B2C" w14:textId="790323D7" w:rsidR="00231DB8" w:rsidRPr="00231DB8" w:rsidRDefault="00231DB8" w:rsidP="00231DB8">
      <w:pPr>
        <w:ind w:left="284"/>
        <w:rPr>
          <w:rFonts w:cs="Arial"/>
          <w:szCs w:val="24"/>
          <w:u w:val="single"/>
        </w:rPr>
      </w:pPr>
      <w:r w:rsidRPr="00231DB8">
        <w:rPr>
          <w:rFonts w:cs="Arial"/>
          <w:szCs w:val="24"/>
          <w:u w:val="single"/>
        </w:rPr>
        <w:t>2023  </w:t>
      </w:r>
      <w:r w:rsidRPr="00231DB8">
        <w:rPr>
          <w:rFonts w:cs="Arial"/>
          <w:szCs w:val="24"/>
          <w:u w:val="single"/>
        </w:rPr>
        <w:tab/>
      </w:r>
      <w:r w:rsidRPr="00231DB8">
        <w:rPr>
          <w:rFonts w:cs="Arial"/>
          <w:szCs w:val="24"/>
          <w:u w:val="single"/>
        </w:rPr>
        <w:tab/>
      </w:r>
      <w:r w:rsidRPr="00231DB8">
        <w:rPr>
          <w:rFonts w:cs="Arial"/>
          <w:szCs w:val="24"/>
          <w:u w:val="single"/>
        </w:rPr>
        <w:tab/>
      </w:r>
      <w:r w:rsidRPr="00231DB8">
        <w:rPr>
          <w:rFonts w:cs="Arial"/>
          <w:szCs w:val="24"/>
          <w:u w:val="single"/>
        </w:rPr>
        <w:tab/>
      </w:r>
      <w:r w:rsidRPr="00231DB8">
        <w:rPr>
          <w:rFonts w:cs="Arial"/>
          <w:szCs w:val="24"/>
          <w:u w:val="single"/>
        </w:rPr>
        <w:tab/>
      </w:r>
      <w:r w:rsidRPr="00231DB8">
        <w:rPr>
          <w:rFonts w:cs="Arial"/>
          <w:szCs w:val="24"/>
          <w:u w:val="single"/>
        </w:rPr>
        <w:tab/>
      </w:r>
      <w:r w:rsidRPr="00231DB8">
        <w:rPr>
          <w:rFonts w:cs="Arial"/>
          <w:szCs w:val="24"/>
          <w:u w:val="single"/>
        </w:rPr>
        <w:tab/>
      </w:r>
      <w:r w:rsidRPr="00231DB8">
        <w:rPr>
          <w:rFonts w:cs="Arial"/>
          <w:szCs w:val="24"/>
          <w:u w:val="single"/>
        </w:rPr>
        <w:tab/>
      </w:r>
      <w:r>
        <w:rPr>
          <w:rFonts w:cs="Arial"/>
          <w:szCs w:val="24"/>
          <w:u w:val="single"/>
        </w:rPr>
        <w:t xml:space="preserve">    </w:t>
      </w:r>
      <w:r w:rsidRPr="00231DB8">
        <w:rPr>
          <w:rFonts w:cs="Arial"/>
          <w:szCs w:val="24"/>
          <w:u w:val="single"/>
        </w:rPr>
        <w:t>32</w:t>
      </w:r>
    </w:p>
    <w:p w14:paraId="7E689B0D" w14:textId="1F85B9A8" w:rsidR="00231DB8" w:rsidRPr="00231DB8" w:rsidRDefault="00231DB8" w:rsidP="00231DB8">
      <w:pPr>
        <w:ind w:left="284"/>
        <w:rPr>
          <w:rFonts w:cs="Arial"/>
          <w:b/>
          <w:bCs/>
          <w:szCs w:val="24"/>
        </w:rPr>
      </w:pPr>
      <w:r w:rsidRPr="00231DB8">
        <w:rPr>
          <w:rFonts w:cs="Arial"/>
          <w:b/>
          <w:bCs/>
          <w:szCs w:val="24"/>
        </w:rPr>
        <w:t>Total</w:t>
      </w:r>
      <w:r w:rsidRPr="00231DB8">
        <w:rPr>
          <w:rFonts w:cs="Arial"/>
          <w:b/>
          <w:bCs/>
          <w:szCs w:val="24"/>
        </w:rPr>
        <w:tab/>
      </w:r>
      <w:r w:rsidRPr="00231DB8">
        <w:rPr>
          <w:rFonts w:cs="Arial"/>
          <w:b/>
          <w:bCs/>
          <w:szCs w:val="24"/>
        </w:rPr>
        <w:tab/>
      </w:r>
      <w:r w:rsidRPr="00231DB8">
        <w:rPr>
          <w:rFonts w:cs="Arial"/>
          <w:b/>
          <w:bCs/>
          <w:szCs w:val="24"/>
        </w:rPr>
        <w:tab/>
      </w:r>
      <w:r w:rsidRPr="00231DB8">
        <w:rPr>
          <w:rFonts w:cs="Arial"/>
          <w:b/>
          <w:bCs/>
          <w:szCs w:val="24"/>
        </w:rPr>
        <w:tab/>
      </w:r>
      <w:r w:rsidRPr="00231DB8">
        <w:rPr>
          <w:rFonts w:cs="Arial"/>
          <w:b/>
          <w:bCs/>
          <w:szCs w:val="24"/>
        </w:rPr>
        <w:tab/>
      </w:r>
      <w:r w:rsidRPr="00231DB8">
        <w:rPr>
          <w:rFonts w:cs="Arial"/>
          <w:b/>
          <w:bCs/>
          <w:szCs w:val="24"/>
        </w:rPr>
        <w:tab/>
      </w:r>
      <w:r w:rsidRPr="00231DB8">
        <w:rPr>
          <w:rFonts w:cs="Arial"/>
          <w:b/>
          <w:bCs/>
          <w:szCs w:val="24"/>
        </w:rPr>
        <w:tab/>
      </w:r>
      <w:r w:rsidRPr="00231DB8">
        <w:rPr>
          <w:rFonts w:cs="Arial"/>
          <w:b/>
          <w:bCs/>
          <w:szCs w:val="24"/>
        </w:rPr>
        <w:tab/>
      </w:r>
      <w:r>
        <w:rPr>
          <w:rFonts w:cs="Arial"/>
          <w:b/>
          <w:bCs/>
          <w:szCs w:val="24"/>
        </w:rPr>
        <w:t xml:space="preserve">  </w:t>
      </w:r>
      <w:r w:rsidRPr="00231DB8">
        <w:rPr>
          <w:rFonts w:cs="Arial"/>
          <w:b/>
          <w:bCs/>
          <w:szCs w:val="24"/>
        </w:rPr>
        <w:t>428</w:t>
      </w:r>
    </w:p>
    <w:p w14:paraId="45741715" w14:textId="77777777" w:rsidR="00231DB8" w:rsidRPr="00231DB8" w:rsidRDefault="00231DB8" w:rsidP="00231DB8">
      <w:pPr>
        <w:ind w:left="284"/>
        <w:rPr>
          <w:rFonts w:cs="Arial"/>
          <w:szCs w:val="24"/>
        </w:rPr>
      </w:pPr>
    </w:p>
    <w:p w14:paraId="11A66124" w14:textId="64F0A869" w:rsidR="00231DB8" w:rsidRPr="00231DB8" w:rsidRDefault="00231DB8" w:rsidP="00231DB8">
      <w:pPr>
        <w:ind w:left="284"/>
        <w:rPr>
          <w:rFonts w:cs="Arial"/>
          <w:b/>
          <w:bCs/>
          <w:szCs w:val="24"/>
        </w:rPr>
      </w:pPr>
      <w:r w:rsidRPr="00231DB8">
        <w:rPr>
          <w:rFonts w:cs="Arial"/>
          <w:b/>
          <w:bCs/>
          <w:szCs w:val="24"/>
        </w:rPr>
        <w:t>Financial Year ending</w:t>
      </w:r>
      <w:r>
        <w:rPr>
          <w:rFonts w:cs="Arial"/>
          <w:b/>
          <w:bCs/>
          <w:szCs w:val="24"/>
        </w:rPr>
        <w:t>; March</w:t>
      </w:r>
      <w:r w:rsidRPr="00231DB8">
        <w:rPr>
          <w:rFonts w:cs="Arial"/>
          <w:b/>
          <w:bCs/>
          <w:szCs w:val="24"/>
        </w:rPr>
        <w:t xml:space="preserve">:                          No. into 50/50 </w:t>
      </w:r>
    </w:p>
    <w:p w14:paraId="36E953C2" w14:textId="4D6305D5" w:rsidR="00231DB8" w:rsidRPr="00231DB8" w:rsidRDefault="00231DB8" w:rsidP="00231DB8">
      <w:pPr>
        <w:ind w:left="284"/>
        <w:rPr>
          <w:rFonts w:cs="Arial"/>
          <w:szCs w:val="24"/>
        </w:rPr>
      </w:pPr>
      <w:r w:rsidRPr="00231DB8">
        <w:rPr>
          <w:rFonts w:cs="Arial"/>
          <w:szCs w:val="24"/>
        </w:rPr>
        <w:t>2019                                                                </w:t>
      </w:r>
      <w:r>
        <w:rPr>
          <w:rFonts w:cs="Arial"/>
          <w:szCs w:val="24"/>
        </w:rPr>
        <w:tab/>
      </w:r>
      <w:r>
        <w:rPr>
          <w:rFonts w:cs="Arial"/>
          <w:szCs w:val="24"/>
        </w:rPr>
        <w:tab/>
        <w:t xml:space="preserve">     </w:t>
      </w:r>
      <w:r w:rsidRPr="00231DB8">
        <w:rPr>
          <w:rFonts w:cs="Arial"/>
          <w:szCs w:val="24"/>
        </w:rPr>
        <w:t>9</w:t>
      </w:r>
    </w:p>
    <w:p w14:paraId="303EFD5D" w14:textId="57CE4AF3" w:rsidR="00231DB8" w:rsidRPr="00231DB8" w:rsidRDefault="00231DB8" w:rsidP="00231DB8">
      <w:pPr>
        <w:ind w:left="284"/>
        <w:rPr>
          <w:rFonts w:cs="Arial"/>
          <w:szCs w:val="24"/>
        </w:rPr>
      </w:pPr>
      <w:r w:rsidRPr="00231DB8">
        <w:rPr>
          <w:rFonts w:cs="Arial"/>
          <w:szCs w:val="24"/>
        </w:rPr>
        <w:t xml:space="preserve">2020                                                                 </w:t>
      </w:r>
      <w:r>
        <w:rPr>
          <w:rFonts w:cs="Arial"/>
          <w:szCs w:val="24"/>
        </w:rPr>
        <w:tab/>
      </w:r>
      <w:r>
        <w:rPr>
          <w:rFonts w:cs="Arial"/>
          <w:szCs w:val="24"/>
        </w:rPr>
        <w:tab/>
        <w:t xml:space="preserve">     </w:t>
      </w:r>
      <w:r w:rsidRPr="00231DB8">
        <w:rPr>
          <w:rFonts w:cs="Arial"/>
          <w:szCs w:val="24"/>
        </w:rPr>
        <w:t>9</w:t>
      </w:r>
    </w:p>
    <w:p w14:paraId="7B8AA1FD" w14:textId="1A8B3620" w:rsidR="00231DB8" w:rsidRPr="00231DB8" w:rsidRDefault="00231DB8" w:rsidP="00231DB8">
      <w:pPr>
        <w:ind w:left="284"/>
        <w:rPr>
          <w:rFonts w:cs="Arial"/>
          <w:szCs w:val="24"/>
        </w:rPr>
      </w:pPr>
      <w:r w:rsidRPr="00231DB8">
        <w:rPr>
          <w:rFonts w:cs="Arial"/>
          <w:szCs w:val="24"/>
        </w:rPr>
        <w:t xml:space="preserve">2021                                                                 </w:t>
      </w:r>
      <w:r>
        <w:rPr>
          <w:rFonts w:cs="Arial"/>
          <w:szCs w:val="24"/>
        </w:rPr>
        <w:tab/>
      </w:r>
      <w:r>
        <w:rPr>
          <w:rFonts w:cs="Arial"/>
          <w:szCs w:val="24"/>
        </w:rPr>
        <w:tab/>
        <w:t xml:space="preserve">     </w:t>
      </w:r>
      <w:r w:rsidRPr="00231DB8">
        <w:rPr>
          <w:rFonts w:cs="Arial"/>
          <w:szCs w:val="24"/>
        </w:rPr>
        <w:t>8</w:t>
      </w:r>
    </w:p>
    <w:p w14:paraId="10755283" w14:textId="53707747" w:rsidR="00231DB8" w:rsidRPr="00231DB8" w:rsidRDefault="00231DB8" w:rsidP="00231DB8">
      <w:pPr>
        <w:ind w:left="284"/>
        <w:rPr>
          <w:rFonts w:cs="Arial"/>
          <w:szCs w:val="24"/>
        </w:rPr>
      </w:pPr>
      <w:r w:rsidRPr="00231DB8">
        <w:rPr>
          <w:rFonts w:cs="Arial"/>
          <w:szCs w:val="24"/>
        </w:rPr>
        <w:t xml:space="preserve">2022                                                                </w:t>
      </w:r>
      <w:r>
        <w:rPr>
          <w:rFonts w:cs="Arial"/>
          <w:szCs w:val="24"/>
        </w:rPr>
        <w:tab/>
      </w:r>
      <w:r>
        <w:rPr>
          <w:rFonts w:cs="Arial"/>
          <w:szCs w:val="24"/>
        </w:rPr>
        <w:tab/>
        <w:t xml:space="preserve">   </w:t>
      </w:r>
      <w:r w:rsidRPr="00231DB8">
        <w:rPr>
          <w:rFonts w:cs="Arial"/>
          <w:szCs w:val="24"/>
        </w:rPr>
        <w:t>11</w:t>
      </w:r>
    </w:p>
    <w:p w14:paraId="7FEB18C5" w14:textId="2CC455E4" w:rsidR="00231DB8" w:rsidRPr="00231DB8" w:rsidRDefault="00231DB8" w:rsidP="00231DB8">
      <w:pPr>
        <w:ind w:left="284"/>
        <w:rPr>
          <w:rFonts w:cs="Arial"/>
          <w:szCs w:val="24"/>
          <w:u w:val="single"/>
        </w:rPr>
      </w:pPr>
      <w:r w:rsidRPr="00231DB8">
        <w:rPr>
          <w:rFonts w:cs="Arial"/>
          <w:szCs w:val="24"/>
          <w:u w:val="single"/>
        </w:rPr>
        <w:t xml:space="preserve">2023                                                                 </w:t>
      </w:r>
      <w:r w:rsidRPr="00231DB8">
        <w:rPr>
          <w:rFonts w:cs="Arial"/>
          <w:szCs w:val="24"/>
          <w:u w:val="single"/>
        </w:rPr>
        <w:tab/>
      </w:r>
      <w:r w:rsidRPr="00231DB8">
        <w:rPr>
          <w:rFonts w:cs="Arial"/>
          <w:szCs w:val="24"/>
          <w:u w:val="single"/>
        </w:rPr>
        <w:tab/>
        <w:t xml:space="preserve">  </w:t>
      </w:r>
      <w:r>
        <w:rPr>
          <w:rFonts w:cs="Arial"/>
          <w:szCs w:val="24"/>
          <w:u w:val="single"/>
        </w:rPr>
        <w:t xml:space="preserve">   </w:t>
      </w:r>
      <w:r w:rsidRPr="00231DB8">
        <w:rPr>
          <w:rFonts w:cs="Arial"/>
          <w:szCs w:val="24"/>
          <w:u w:val="single"/>
        </w:rPr>
        <w:t>4</w:t>
      </w:r>
    </w:p>
    <w:p w14:paraId="5B135F22" w14:textId="4673F999" w:rsidR="00231DB8" w:rsidRDefault="00231DB8" w:rsidP="00231DB8">
      <w:pPr>
        <w:ind w:left="-152"/>
        <w:jc w:val="both"/>
        <w:rPr>
          <w:b/>
          <w:bCs/>
        </w:rPr>
      </w:pPr>
      <w:r>
        <w:tab/>
        <w:t xml:space="preserve">    </w:t>
      </w:r>
      <w:r w:rsidRPr="00231DB8">
        <w:rPr>
          <w:b/>
          <w:bCs/>
        </w:rPr>
        <w:t>Total</w:t>
      </w:r>
      <w:r w:rsidRPr="00231DB8">
        <w:rPr>
          <w:b/>
          <w:bCs/>
        </w:rPr>
        <w:tab/>
      </w:r>
      <w:r w:rsidRPr="00231DB8">
        <w:rPr>
          <w:b/>
          <w:bCs/>
        </w:rPr>
        <w:tab/>
      </w:r>
      <w:r w:rsidRPr="00231DB8">
        <w:rPr>
          <w:b/>
          <w:bCs/>
        </w:rPr>
        <w:tab/>
      </w:r>
      <w:r w:rsidRPr="00231DB8">
        <w:rPr>
          <w:b/>
          <w:bCs/>
        </w:rPr>
        <w:tab/>
      </w:r>
      <w:r w:rsidRPr="00231DB8">
        <w:rPr>
          <w:b/>
          <w:bCs/>
        </w:rPr>
        <w:tab/>
      </w:r>
      <w:r w:rsidRPr="00231DB8">
        <w:rPr>
          <w:b/>
          <w:bCs/>
        </w:rPr>
        <w:tab/>
      </w:r>
      <w:r w:rsidRPr="00231DB8">
        <w:rPr>
          <w:b/>
          <w:bCs/>
        </w:rPr>
        <w:tab/>
      </w:r>
      <w:r w:rsidRPr="00231DB8">
        <w:rPr>
          <w:b/>
          <w:bCs/>
        </w:rPr>
        <w:tab/>
      </w:r>
      <w:r>
        <w:rPr>
          <w:b/>
          <w:bCs/>
        </w:rPr>
        <w:t xml:space="preserve">   </w:t>
      </w:r>
      <w:r w:rsidRPr="00231DB8">
        <w:rPr>
          <w:b/>
          <w:bCs/>
        </w:rPr>
        <w:t>41</w:t>
      </w:r>
    </w:p>
    <w:p w14:paraId="6A3B4B08" w14:textId="77777777" w:rsidR="00231DB8" w:rsidRDefault="00231DB8" w:rsidP="00231DB8">
      <w:pPr>
        <w:ind w:left="-152"/>
        <w:jc w:val="both"/>
        <w:rPr>
          <w:b/>
          <w:bCs/>
        </w:rPr>
      </w:pPr>
    </w:p>
    <w:p w14:paraId="216BFA74" w14:textId="5400449B" w:rsidR="00231DB8" w:rsidRDefault="00231DB8" w:rsidP="00231DB8">
      <w:pPr>
        <w:numPr>
          <w:ilvl w:val="0"/>
          <w:numId w:val="2"/>
        </w:numPr>
        <w:tabs>
          <w:tab w:val="num" w:pos="284"/>
        </w:tabs>
        <w:ind w:left="284" w:hanging="851"/>
        <w:jc w:val="both"/>
      </w:pPr>
      <w:r>
        <w:t>Additional resources required by Fund to focus on GMP, McCloud and related employer bottlenecks.</w:t>
      </w:r>
    </w:p>
    <w:p w14:paraId="0A60CA5B" w14:textId="1E0914DC" w:rsidR="00E54E13" w:rsidRDefault="00A77232" w:rsidP="00E54E13">
      <w:pPr>
        <w:pStyle w:val="Heading2"/>
      </w:pPr>
      <w:r>
        <w:t>L</w:t>
      </w:r>
      <w:r w:rsidR="00E54E13">
        <w:t>egal Implications</w:t>
      </w:r>
    </w:p>
    <w:p w14:paraId="5F8B9F07" w14:textId="77777777" w:rsidR="00E54E13" w:rsidRDefault="00E54E13" w:rsidP="00E54E13">
      <w:pPr>
        <w:jc w:val="both"/>
      </w:pPr>
    </w:p>
    <w:p w14:paraId="678A3CD6" w14:textId="77777777" w:rsidR="00231DB8" w:rsidRDefault="00231DB8" w:rsidP="00231DB8">
      <w:pPr>
        <w:numPr>
          <w:ilvl w:val="0"/>
          <w:numId w:val="2"/>
        </w:numPr>
        <w:tabs>
          <w:tab w:val="clear" w:pos="584"/>
          <w:tab w:val="num" w:pos="284"/>
        </w:tabs>
        <w:ind w:hanging="1151"/>
        <w:jc w:val="both"/>
      </w:pPr>
      <w:r w:rsidRPr="00231DB8">
        <w:rPr>
          <w:szCs w:val="24"/>
        </w:rPr>
        <w:t>There are no direct legal implications arising from this report.</w:t>
      </w:r>
    </w:p>
    <w:p w14:paraId="47CECB64" w14:textId="77777777" w:rsidR="00231DB8" w:rsidRDefault="00231DB8" w:rsidP="00231DB8">
      <w:pPr>
        <w:ind w:left="584"/>
        <w:jc w:val="both"/>
      </w:pPr>
    </w:p>
    <w:p w14:paraId="76257E47" w14:textId="77777777" w:rsidR="00231DB8" w:rsidRDefault="00231DB8" w:rsidP="00231DB8">
      <w:pPr>
        <w:numPr>
          <w:ilvl w:val="0"/>
          <w:numId w:val="2"/>
        </w:numPr>
        <w:tabs>
          <w:tab w:val="clear" w:pos="584"/>
          <w:tab w:val="num" w:pos="284"/>
        </w:tabs>
        <w:ind w:left="284" w:hanging="851"/>
        <w:jc w:val="both"/>
      </w:pPr>
      <w:r w:rsidRPr="00231DB8">
        <w:rPr>
          <w:szCs w:val="24"/>
        </w:rPr>
        <w:t>The terms of reference for the Board include the Board’s role as set out in</w:t>
      </w:r>
      <w:r>
        <w:rPr>
          <w:szCs w:val="24"/>
        </w:rPr>
        <w:t xml:space="preserve"> </w:t>
      </w:r>
      <w:r w:rsidRPr="00231DB8">
        <w:rPr>
          <w:szCs w:val="24"/>
        </w:rPr>
        <w:t xml:space="preserve">the following paragraphs. </w:t>
      </w:r>
    </w:p>
    <w:p w14:paraId="176A6A73" w14:textId="77777777" w:rsidR="00231DB8" w:rsidRDefault="00231DB8" w:rsidP="00231DB8">
      <w:pPr>
        <w:pStyle w:val="ListParagraph"/>
        <w:rPr>
          <w:color w:val="262626"/>
          <w:szCs w:val="24"/>
        </w:rPr>
      </w:pPr>
    </w:p>
    <w:p w14:paraId="0DDC900B" w14:textId="78A82365" w:rsidR="00231DB8" w:rsidRPr="00231DB8" w:rsidRDefault="00231DB8" w:rsidP="00231DB8">
      <w:pPr>
        <w:numPr>
          <w:ilvl w:val="0"/>
          <w:numId w:val="2"/>
        </w:numPr>
        <w:tabs>
          <w:tab w:val="clear" w:pos="584"/>
          <w:tab w:val="num" w:pos="284"/>
        </w:tabs>
        <w:ind w:left="284" w:hanging="851"/>
        <w:jc w:val="both"/>
      </w:pPr>
      <w:r w:rsidRPr="00231DB8">
        <w:rPr>
          <w:rFonts w:cs="Arial"/>
          <w:color w:val="262626"/>
          <w:szCs w:val="24"/>
          <w:lang w:eastAsia="en-GB"/>
        </w:rPr>
        <w:t xml:space="preserve">The role of the Board, as defined by sections 5(1) and (2) of the Public Service Pensions Act 2013, is to assist the Administering Authority (London Borough of Harrow) as Scheme Manager in ensuring the effective and </w:t>
      </w:r>
      <w:r w:rsidRPr="00231DB8">
        <w:rPr>
          <w:rFonts w:cs="Arial"/>
          <w:color w:val="262626"/>
          <w:szCs w:val="24"/>
          <w:lang w:eastAsia="en-GB"/>
        </w:rPr>
        <w:lastRenderedPageBreak/>
        <w:t>efficient governance and administration of the Local Government Pension Scheme (LGPS) including:</w:t>
      </w:r>
    </w:p>
    <w:p w14:paraId="7468AB75" w14:textId="77777777" w:rsidR="00231DB8" w:rsidRPr="00280C5C" w:rsidRDefault="00231DB8" w:rsidP="00231DB8">
      <w:pPr>
        <w:pStyle w:val="ListParagraph"/>
        <w:numPr>
          <w:ilvl w:val="0"/>
          <w:numId w:val="8"/>
        </w:numPr>
        <w:shd w:val="clear" w:color="auto" w:fill="FFFFFF"/>
        <w:jc w:val="both"/>
        <w:rPr>
          <w:color w:val="262626"/>
          <w:sz w:val="24"/>
          <w:szCs w:val="24"/>
        </w:rPr>
      </w:pPr>
      <w:r w:rsidRPr="00280C5C">
        <w:rPr>
          <w:color w:val="262626"/>
          <w:sz w:val="24"/>
          <w:szCs w:val="24"/>
        </w:rPr>
        <w:t>securing compliance with the LGPS regulations and other legislation relating to the governance and administration of the LGPS;</w:t>
      </w:r>
    </w:p>
    <w:p w14:paraId="6E86945F" w14:textId="77777777" w:rsidR="00231DB8" w:rsidRPr="00280C5C" w:rsidRDefault="00231DB8" w:rsidP="00231DB8">
      <w:pPr>
        <w:pStyle w:val="ListParagraph"/>
        <w:numPr>
          <w:ilvl w:val="0"/>
          <w:numId w:val="8"/>
        </w:numPr>
        <w:shd w:val="clear" w:color="auto" w:fill="FFFFFF"/>
        <w:jc w:val="both"/>
        <w:rPr>
          <w:color w:val="262626"/>
          <w:sz w:val="24"/>
          <w:szCs w:val="24"/>
        </w:rPr>
      </w:pPr>
      <w:r w:rsidRPr="00280C5C">
        <w:rPr>
          <w:color w:val="262626"/>
          <w:sz w:val="24"/>
          <w:szCs w:val="24"/>
        </w:rPr>
        <w:t>securing compliance with requirements imposed in relation to the LGPS by the Pensions Regulator; and</w:t>
      </w:r>
    </w:p>
    <w:p w14:paraId="3BF6FDDE" w14:textId="77777777" w:rsidR="00231DB8" w:rsidRPr="00280C5C" w:rsidRDefault="00231DB8" w:rsidP="00231DB8">
      <w:pPr>
        <w:pStyle w:val="ListParagraph"/>
        <w:numPr>
          <w:ilvl w:val="0"/>
          <w:numId w:val="8"/>
        </w:numPr>
        <w:shd w:val="clear" w:color="auto" w:fill="FFFFFF"/>
        <w:spacing w:after="160"/>
        <w:jc w:val="both"/>
        <w:rPr>
          <w:color w:val="262626"/>
          <w:sz w:val="24"/>
          <w:szCs w:val="24"/>
        </w:rPr>
      </w:pPr>
      <w:r w:rsidRPr="00280C5C">
        <w:rPr>
          <w:color w:val="262626"/>
          <w:sz w:val="24"/>
          <w:szCs w:val="24"/>
        </w:rPr>
        <w:t>such other matters the LGPS regulations may specify.</w:t>
      </w:r>
    </w:p>
    <w:p w14:paraId="618EA8DF" w14:textId="77777777" w:rsidR="00231DB8" w:rsidRDefault="00231DB8" w:rsidP="00231DB8">
      <w:pPr>
        <w:pStyle w:val="ListParagraph"/>
        <w:rPr>
          <w:color w:val="262626"/>
          <w:szCs w:val="24"/>
        </w:rPr>
      </w:pPr>
    </w:p>
    <w:p w14:paraId="7A379357" w14:textId="77777777" w:rsidR="00231DB8" w:rsidRDefault="00231DB8" w:rsidP="00231DB8">
      <w:pPr>
        <w:numPr>
          <w:ilvl w:val="0"/>
          <w:numId w:val="2"/>
        </w:numPr>
        <w:tabs>
          <w:tab w:val="clear" w:pos="584"/>
          <w:tab w:val="num" w:pos="284"/>
        </w:tabs>
        <w:ind w:left="284" w:hanging="851"/>
        <w:jc w:val="both"/>
      </w:pPr>
      <w:r w:rsidRPr="00231DB8">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411C6053" w14:textId="77777777" w:rsidR="00231DB8" w:rsidRDefault="00231DB8" w:rsidP="00231DB8">
      <w:pPr>
        <w:pStyle w:val="ListParagraph"/>
        <w:rPr>
          <w:color w:val="262626"/>
          <w:szCs w:val="24"/>
        </w:rPr>
      </w:pPr>
    </w:p>
    <w:p w14:paraId="4BD9020B" w14:textId="043AAE26" w:rsidR="00231DB8" w:rsidRPr="00231DB8" w:rsidRDefault="00231DB8" w:rsidP="00231DB8">
      <w:pPr>
        <w:numPr>
          <w:ilvl w:val="0"/>
          <w:numId w:val="2"/>
        </w:numPr>
        <w:tabs>
          <w:tab w:val="clear" w:pos="584"/>
          <w:tab w:val="num" w:pos="284"/>
        </w:tabs>
        <w:ind w:left="284" w:hanging="851"/>
        <w:jc w:val="both"/>
      </w:pPr>
      <w:r w:rsidRPr="00231DB8">
        <w:rPr>
          <w:rFonts w:cs="Arial"/>
          <w:color w:val="262626"/>
          <w:szCs w:val="24"/>
          <w:lang w:eastAsia="en-GB"/>
        </w:rPr>
        <w:t>In its role, The Board will have oversight of the administration of the fund including:</w:t>
      </w:r>
    </w:p>
    <w:p w14:paraId="5C53596B" w14:textId="77777777" w:rsidR="00231DB8" w:rsidRPr="00280C5C" w:rsidRDefault="00231DB8" w:rsidP="00231DB8">
      <w:pPr>
        <w:pStyle w:val="ListParagraph"/>
        <w:numPr>
          <w:ilvl w:val="1"/>
          <w:numId w:val="10"/>
        </w:numPr>
        <w:shd w:val="clear" w:color="auto" w:fill="FFFFFF"/>
        <w:rPr>
          <w:color w:val="262626"/>
          <w:sz w:val="24"/>
          <w:szCs w:val="24"/>
        </w:rPr>
      </w:pPr>
      <w:r w:rsidRPr="00280C5C">
        <w:rPr>
          <w:color w:val="262626"/>
          <w:sz w:val="24"/>
          <w:szCs w:val="24"/>
        </w:rPr>
        <w:t>The effectiveness of the decision making process</w:t>
      </w:r>
    </w:p>
    <w:p w14:paraId="049A55D6" w14:textId="77777777" w:rsidR="00231DB8" w:rsidRPr="00280C5C" w:rsidRDefault="00231DB8" w:rsidP="00231DB8">
      <w:pPr>
        <w:pStyle w:val="ListParagraph"/>
        <w:numPr>
          <w:ilvl w:val="1"/>
          <w:numId w:val="10"/>
        </w:numPr>
        <w:shd w:val="clear" w:color="auto" w:fill="FFFFFF"/>
        <w:rPr>
          <w:color w:val="262626"/>
          <w:sz w:val="24"/>
          <w:szCs w:val="24"/>
        </w:rPr>
      </w:pPr>
      <w:r w:rsidRPr="00280C5C">
        <w:rPr>
          <w:color w:val="262626"/>
          <w:sz w:val="24"/>
          <w:szCs w:val="24"/>
        </w:rPr>
        <w:t>The direction of the Fund and its overall objectives</w:t>
      </w:r>
    </w:p>
    <w:p w14:paraId="2FDB9ECD" w14:textId="77777777" w:rsidR="00231DB8" w:rsidRPr="00280C5C" w:rsidRDefault="00231DB8" w:rsidP="00231DB8">
      <w:pPr>
        <w:pStyle w:val="ListParagraph"/>
        <w:numPr>
          <w:ilvl w:val="1"/>
          <w:numId w:val="10"/>
        </w:numPr>
        <w:shd w:val="clear" w:color="auto" w:fill="FFFFFF"/>
        <w:rPr>
          <w:color w:val="262626"/>
          <w:sz w:val="24"/>
          <w:szCs w:val="24"/>
        </w:rPr>
      </w:pPr>
      <w:r w:rsidRPr="00280C5C">
        <w:rPr>
          <w:color w:val="262626"/>
          <w:sz w:val="24"/>
          <w:szCs w:val="24"/>
        </w:rPr>
        <w:t>The level of transparency in the conduct of the Fund’s activities</w:t>
      </w:r>
    </w:p>
    <w:p w14:paraId="1767F0D2" w14:textId="77777777" w:rsidR="00231DB8" w:rsidRPr="00280C5C" w:rsidRDefault="00231DB8" w:rsidP="00231DB8">
      <w:pPr>
        <w:pStyle w:val="ListParagraph"/>
        <w:numPr>
          <w:ilvl w:val="1"/>
          <w:numId w:val="10"/>
        </w:numPr>
        <w:shd w:val="clear" w:color="auto" w:fill="FFFFFF"/>
        <w:rPr>
          <w:color w:val="262626"/>
          <w:sz w:val="24"/>
          <w:szCs w:val="24"/>
        </w:rPr>
      </w:pPr>
      <w:r w:rsidRPr="00280C5C">
        <w:rPr>
          <w:color w:val="262626"/>
          <w:sz w:val="24"/>
          <w:szCs w:val="24"/>
        </w:rPr>
        <w:t>The administration of benefits and contributions</w:t>
      </w:r>
    </w:p>
    <w:p w14:paraId="5F303291" w14:textId="77777777" w:rsidR="00231DB8" w:rsidRDefault="00231DB8" w:rsidP="00231DB8">
      <w:pPr>
        <w:pStyle w:val="ListParagraph"/>
        <w:rPr>
          <w:color w:val="262626"/>
          <w:szCs w:val="24"/>
        </w:rPr>
      </w:pPr>
    </w:p>
    <w:p w14:paraId="34A50B83" w14:textId="77777777" w:rsidR="00231DB8" w:rsidRDefault="00231DB8" w:rsidP="00231DB8">
      <w:pPr>
        <w:numPr>
          <w:ilvl w:val="0"/>
          <w:numId w:val="2"/>
        </w:numPr>
        <w:tabs>
          <w:tab w:val="clear" w:pos="584"/>
          <w:tab w:val="num" w:pos="284"/>
        </w:tabs>
        <w:ind w:left="284" w:hanging="851"/>
        <w:jc w:val="both"/>
      </w:pPr>
      <w:r w:rsidRPr="00231DB8">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3AB77842" w14:textId="77777777" w:rsidR="00231DB8" w:rsidRDefault="00231DB8" w:rsidP="00231DB8">
      <w:pPr>
        <w:pStyle w:val="ListParagraph"/>
        <w:rPr>
          <w:color w:val="262626"/>
          <w:szCs w:val="24"/>
        </w:rPr>
      </w:pPr>
    </w:p>
    <w:p w14:paraId="38B9F55C" w14:textId="77777777" w:rsidR="00231DB8" w:rsidRDefault="00231DB8" w:rsidP="00231DB8">
      <w:pPr>
        <w:numPr>
          <w:ilvl w:val="0"/>
          <w:numId w:val="2"/>
        </w:numPr>
        <w:tabs>
          <w:tab w:val="clear" w:pos="584"/>
          <w:tab w:val="num" w:pos="284"/>
        </w:tabs>
        <w:ind w:left="284" w:hanging="851"/>
        <w:jc w:val="both"/>
      </w:pPr>
      <w:r w:rsidRPr="00231DB8">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510692CD" w14:textId="77777777" w:rsidR="00231DB8" w:rsidRDefault="00231DB8" w:rsidP="00231DB8">
      <w:pPr>
        <w:pStyle w:val="ListParagraph"/>
        <w:rPr>
          <w:color w:val="262626"/>
          <w:szCs w:val="24"/>
        </w:rPr>
      </w:pPr>
    </w:p>
    <w:p w14:paraId="55F9513A" w14:textId="1E017388" w:rsidR="00231DB8" w:rsidRPr="00231DB8" w:rsidRDefault="00231DB8" w:rsidP="00231DB8">
      <w:pPr>
        <w:numPr>
          <w:ilvl w:val="0"/>
          <w:numId w:val="2"/>
        </w:numPr>
        <w:tabs>
          <w:tab w:val="clear" w:pos="584"/>
          <w:tab w:val="num" w:pos="284"/>
        </w:tabs>
        <w:ind w:left="284" w:hanging="851"/>
        <w:jc w:val="both"/>
      </w:pPr>
      <w:r w:rsidRPr="00231DB8">
        <w:rPr>
          <w:rFonts w:cs="Arial"/>
          <w:color w:val="262626"/>
          <w:szCs w:val="24"/>
          <w:lang w:eastAsia="en-GB"/>
        </w:rPr>
        <w:t>The Board shall meet sufficiently regularly to discharge its duties and responsibilities effectively.</w:t>
      </w:r>
    </w:p>
    <w:p w14:paraId="40A4BAC0" w14:textId="77777777" w:rsidR="007B6C97" w:rsidRDefault="007B6C97" w:rsidP="007B6C97">
      <w:pPr>
        <w:pStyle w:val="Heading2"/>
        <w:spacing w:after="240"/>
      </w:pPr>
      <w:r>
        <w:t>Financial Implications</w:t>
      </w:r>
    </w:p>
    <w:p w14:paraId="6CD06EE0" w14:textId="77777777" w:rsidR="00C85F88" w:rsidRPr="00ED1007" w:rsidRDefault="00C85F88" w:rsidP="00F10314">
      <w:pPr>
        <w:numPr>
          <w:ilvl w:val="0"/>
          <w:numId w:val="2"/>
        </w:numPr>
        <w:tabs>
          <w:tab w:val="clear" w:pos="584"/>
          <w:tab w:val="num" w:pos="284"/>
        </w:tabs>
        <w:autoSpaceDE w:val="0"/>
        <w:autoSpaceDN w:val="0"/>
        <w:adjustRightInd w:val="0"/>
        <w:ind w:left="284" w:hanging="851"/>
        <w:jc w:val="both"/>
        <w:rPr>
          <w:szCs w:val="24"/>
          <w:lang w:val="en-US"/>
        </w:rPr>
      </w:pPr>
      <w:r w:rsidRPr="00ED1007">
        <w:rPr>
          <w:szCs w:val="24"/>
          <w:lang w:val="en-US"/>
        </w:rPr>
        <w:t>Whilst the performance and effective controls of the fund managers is of paramount importance in the performance of the Pension Fund, there are no direct financial implications arising from this report.</w:t>
      </w:r>
    </w:p>
    <w:p w14:paraId="2B1DEF02" w14:textId="77777777" w:rsidR="00690F76" w:rsidRPr="003D2FFE" w:rsidRDefault="00690F76" w:rsidP="00B902AE">
      <w:pPr>
        <w:pStyle w:val="Heading2"/>
        <w:spacing w:after="240"/>
        <w:jc w:val="both"/>
      </w:pPr>
      <w:r>
        <w:t>Risk Management Implications</w:t>
      </w:r>
    </w:p>
    <w:p w14:paraId="564A448C" w14:textId="0CD350C5" w:rsidR="007B6C97" w:rsidRPr="00690F76" w:rsidRDefault="00690F76" w:rsidP="00F10314">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690F76">
        <w:rPr>
          <w:szCs w:val="24"/>
          <w:lang w:val="en-US"/>
        </w:rPr>
        <w:t xml:space="preserve">Risks included on corporate or directorate risk </w:t>
      </w:r>
      <w:r w:rsidR="00B902AE" w:rsidRPr="00690F76">
        <w:rPr>
          <w:szCs w:val="24"/>
          <w:lang w:val="en-US"/>
        </w:rPr>
        <w:t>register</w:t>
      </w:r>
      <w:r w:rsidR="00B902AE">
        <w:rPr>
          <w:szCs w:val="24"/>
          <w:lang w:val="en-US"/>
        </w:rPr>
        <w:t>?</w:t>
      </w:r>
      <w:r w:rsidRPr="00690F76">
        <w:rPr>
          <w:szCs w:val="24"/>
          <w:lang w:val="en-US"/>
        </w:rPr>
        <w:t xml:space="preserve"> </w:t>
      </w:r>
      <w:r w:rsidRPr="00690F76">
        <w:rPr>
          <w:b/>
          <w:bCs/>
          <w:szCs w:val="24"/>
          <w:lang w:val="en-US"/>
        </w:rPr>
        <w:t>No</w:t>
      </w:r>
      <w:r w:rsidRPr="00690F76">
        <w:rPr>
          <w:szCs w:val="24"/>
          <w:lang w:val="en-US"/>
        </w:rPr>
        <w:t xml:space="preserve"> </w:t>
      </w:r>
    </w:p>
    <w:p w14:paraId="0A3EA8F0" w14:textId="11BFE7CF" w:rsidR="00690F76" w:rsidRPr="00690F76" w:rsidRDefault="00346244" w:rsidP="00346244">
      <w:pPr>
        <w:tabs>
          <w:tab w:val="num" w:pos="284"/>
        </w:tabs>
        <w:ind w:right="141"/>
        <w:jc w:val="both"/>
        <w:rPr>
          <w:color w:val="4F81BD" w:themeColor="accent1"/>
          <w:szCs w:val="24"/>
          <w:lang w:val="en-US"/>
        </w:rPr>
      </w:pPr>
      <w:r>
        <w:rPr>
          <w:szCs w:val="24"/>
          <w:lang w:val="en-US"/>
        </w:rPr>
        <w:tab/>
      </w:r>
      <w:r w:rsidR="00690F76" w:rsidRPr="00690F76">
        <w:rPr>
          <w:szCs w:val="24"/>
          <w:lang w:val="en-US"/>
        </w:rPr>
        <w:t xml:space="preserve">Separate risk register in place? </w:t>
      </w:r>
      <w:r w:rsidR="00690F76" w:rsidRPr="00690F76">
        <w:rPr>
          <w:b/>
          <w:bCs/>
          <w:szCs w:val="24"/>
          <w:lang w:val="en-US"/>
        </w:rPr>
        <w:t>Yes</w:t>
      </w:r>
    </w:p>
    <w:p w14:paraId="1EB19CA1" w14:textId="77777777" w:rsidR="00690F76" w:rsidRPr="00690F76" w:rsidRDefault="00690F76" w:rsidP="00B902AE">
      <w:pPr>
        <w:autoSpaceDE w:val="0"/>
        <w:autoSpaceDN w:val="0"/>
        <w:adjustRightInd w:val="0"/>
        <w:ind w:left="426"/>
        <w:jc w:val="both"/>
        <w:rPr>
          <w:rFonts w:cs="Arial"/>
          <w:color w:val="000000"/>
          <w:szCs w:val="24"/>
          <w:lang w:eastAsia="en-GB"/>
        </w:rPr>
      </w:pPr>
    </w:p>
    <w:p w14:paraId="40F78A56" w14:textId="71BA66B5" w:rsidR="003F5AF9" w:rsidRPr="00480F0B" w:rsidRDefault="00690F76" w:rsidP="00F10314">
      <w:pPr>
        <w:numPr>
          <w:ilvl w:val="0"/>
          <w:numId w:val="2"/>
        </w:numPr>
        <w:autoSpaceDE w:val="0"/>
        <w:autoSpaceDN w:val="0"/>
        <w:adjustRightInd w:val="0"/>
        <w:ind w:left="284" w:hanging="851"/>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p>
    <w:p w14:paraId="17031109" w14:textId="77777777" w:rsidR="00480F0B" w:rsidRPr="00480F0B" w:rsidRDefault="00480F0B" w:rsidP="00480F0B">
      <w:pPr>
        <w:autoSpaceDE w:val="0"/>
        <w:autoSpaceDN w:val="0"/>
        <w:adjustRightInd w:val="0"/>
        <w:ind w:left="426"/>
        <w:jc w:val="both"/>
        <w:rPr>
          <w:rFonts w:cs="Arial"/>
          <w:color w:val="000000"/>
          <w:szCs w:val="24"/>
          <w:lang w:eastAsia="en-GB"/>
        </w:rPr>
      </w:pPr>
    </w:p>
    <w:p w14:paraId="2B078D5F" w14:textId="15C7C654" w:rsidR="003F5AF9" w:rsidRPr="00001D28" w:rsidRDefault="003F5AF9" w:rsidP="00F10314">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B902AE">
      <w:pPr>
        <w:pStyle w:val="Heading2"/>
        <w:keepNext/>
        <w:spacing w:after="240"/>
        <w:jc w:val="both"/>
      </w:pPr>
      <w:r w:rsidRPr="003F5AF9">
        <w:lastRenderedPageBreak/>
        <w:t>Equalities implications</w:t>
      </w:r>
      <w:r w:rsidR="00213BE7" w:rsidRPr="003F5AF9">
        <w:t xml:space="preserve"> / Public Sector Equality Duty </w:t>
      </w:r>
    </w:p>
    <w:p w14:paraId="45958F5A" w14:textId="77777777" w:rsidR="003F5AF9" w:rsidRPr="002E705F" w:rsidRDefault="003F5AF9" w:rsidP="00F10314">
      <w:pPr>
        <w:numPr>
          <w:ilvl w:val="0"/>
          <w:numId w:val="2"/>
        </w:numPr>
        <w:tabs>
          <w:tab w:val="clear" w:pos="584"/>
          <w:tab w:val="num" w:pos="284"/>
        </w:tabs>
        <w:autoSpaceDE w:val="0"/>
        <w:autoSpaceDN w:val="0"/>
        <w:adjustRightInd w:val="0"/>
        <w:ind w:hanging="1151"/>
        <w:jc w:val="both"/>
        <w:rPr>
          <w:rFonts w:cs="Arial"/>
          <w:color w:val="000000"/>
          <w:szCs w:val="24"/>
          <w:lang w:eastAsia="en-GB"/>
        </w:rPr>
      </w:pPr>
      <w:r w:rsidRPr="002E705F">
        <w:rPr>
          <w:szCs w:val="24"/>
        </w:rPr>
        <w:t xml:space="preserve">Was an Equality Impact Assessment carried out?  No </w:t>
      </w:r>
    </w:p>
    <w:p w14:paraId="0C2F27D8" w14:textId="4DBA45E0" w:rsidR="00FD31A0" w:rsidRPr="004A2543" w:rsidRDefault="00346244" w:rsidP="00346244">
      <w:pPr>
        <w:tabs>
          <w:tab w:val="num" w:pos="284"/>
        </w:tabs>
        <w:autoSpaceDE w:val="0"/>
        <w:autoSpaceDN w:val="0"/>
        <w:adjustRightInd w:val="0"/>
        <w:jc w:val="both"/>
      </w:pPr>
      <w:r>
        <w:rPr>
          <w:szCs w:val="24"/>
        </w:rPr>
        <w:tab/>
      </w:r>
      <w:r w:rsidR="003F5AF9" w:rsidRPr="002E705F">
        <w:rPr>
          <w:szCs w:val="24"/>
        </w:rPr>
        <w:t>There are no direct equalities implications arising from this report.</w:t>
      </w:r>
    </w:p>
    <w:p w14:paraId="1EF4F8CB" w14:textId="77777777" w:rsidR="004B4A47" w:rsidRPr="003F5AF9" w:rsidRDefault="00AC0AAB" w:rsidP="00B902AE">
      <w:pPr>
        <w:pStyle w:val="Heading2"/>
        <w:spacing w:after="240"/>
        <w:jc w:val="both"/>
      </w:pPr>
      <w:r w:rsidRPr="003F5AF9">
        <w:t xml:space="preserve">Council </w:t>
      </w:r>
      <w:r w:rsidR="004B4A47" w:rsidRPr="003F5AF9">
        <w:t>Priorities</w:t>
      </w:r>
    </w:p>
    <w:p w14:paraId="13CD0946" w14:textId="2E70E655" w:rsidR="003F5AF9" w:rsidRPr="001744D1" w:rsidRDefault="003F5AF9" w:rsidP="00F10314">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11BF41CC" w14:textId="4C94422D" w:rsidR="002A2389" w:rsidRDefault="00183CB6" w:rsidP="00912904">
      <w:pPr>
        <w:pStyle w:val="Heading2"/>
      </w:pPr>
      <w:r>
        <w:t>S</w:t>
      </w:r>
      <w:r w:rsidR="002A2389">
        <w:t>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1C22D940" w:rsidR="00912904" w:rsidRPr="00A66326" w:rsidRDefault="00912904" w:rsidP="00912904">
      <w:pPr>
        <w:rPr>
          <w:sz w:val="28"/>
        </w:rPr>
      </w:pPr>
      <w:r w:rsidRPr="00A66326">
        <w:rPr>
          <w:b/>
          <w:sz w:val="28"/>
        </w:rPr>
        <w:t xml:space="preserve">Statutory Officer:  </w:t>
      </w:r>
      <w:bookmarkStart w:id="0" w:name="_Hlk144884151"/>
      <w:r w:rsidR="00A22721">
        <w:rPr>
          <w:b/>
          <w:sz w:val="28"/>
        </w:rPr>
        <w:t>Sharon Daniels</w:t>
      </w:r>
      <w:bookmarkEnd w:id="0"/>
    </w:p>
    <w:p w14:paraId="57640BD9" w14:textId="3A3DF721" w:rsidR="00912904" w:rsidRPr="00A66326" w:rsidRDefault="00912904" w:rsidP="00912904">
      <w:r w:rsidRPr="00A66326">
        <w:t>Signed by the Chief Financial Officer</w:t>
      </w:r>
    </w:p>
    <w:p w14:paraId="7DF3B061" w14:textId="4C245414" w:rsidR="009303ED" w:rsidRPr="00A66326" w:rsidRDefault="00912904" w:rsidP="009303ED">
      <w:pPr>
        <w:spacing w:after="480"/>
        <w:rPr>
          <w:sz w:val="28"/>
        </w:rPr>
      </w:pPr>
      <w:r w:rsidRPr="00A66326">
        <w:rPr>
          <w:b/>
          <w:sz w:val="28"/>
        </w:rPr>
        <w:t xml:space="preserve">Date:  </w:t>
      </w:r>
      <w:r w:rsidR="00231DB8">
        <w:rPr>
          <w:b/>
          <w:sz w:val="28"/>
        </w:rPr>
        <w:t>1</w:t>
      </w:r>
      <w:r w:rsidR="00807A4C">
        <w:rPr>
          <w:b/>
          <w:sz w:val="28"/>
        </w:rPr>
        <w:t>6</w:t>
      </w:r>
      <w:r w:rsidR="009303ED">
        <w:rPr>
          <w:b/>
          <w:sz w:val="28"/>
        </w:rPr>
        <w:t xml:space="preserve"> </w:t>
      </w:r>
      <w:r w:rsidR="00807A4C">
        <w:rPr>
          <w:b/>
          <w:sz w:val="28"/>
        </w:rPr>
        <w:t>October</w:t>
      </w:r>
      <w:r w:rsidR="009303ED">
        <w:rPr>
          <w:b/>
          <w:sz w:val="28"/>
        </w:rPr>
        <w:t xml:space="preserve"> 2023</w:t>
      </w:r>
    </w:p>
    <w:p w14:paraId="2586CC50" w14:textId="0FFF3297" w:rsidR="00912904" w:rsidRPr="00A66326" w:rsidRDefault="00912904" w:rsidP="00912904">
      <w:pPr>
        <w:rPr>
          <w:sz w:val="28"/>
        </w:rPr>
      </w:pPr>
      <w:r w:rsidRPr="00A66326">
        <w:rPr>
          <w:b/>
          <w:sz w:val="28"/>
        </w:rPr>
        <w:t xml:space="preserve">Statutory Officer:  </w:t>
      </w:r>
      <w:r w:rsidR="00001D28">
        <w:rPr>
          <w:b/>
          <w:sz w:val="28"/>
        </w:rPr>
        <w:t>Sharon Clarke</w:t>
      </w:r>
    </w:p>
    <w:p w14:paraId="3F58D77A" w14:textId="5B53C837" w:rsidR="00912904" w:rsidRPr="00A66326" w:rsidRDefault="00912904" w:rsidP="00912904">
      <w:r w:rsidRPr="00A66326">
        <w:t>Signed on behalf of the Monitoring Officer</w:t>
      </w:r>
    </w:p>
    <w:p w14:paraId="1C88BE00" w14:textId="1283F01C" w:rsidR="009303ED" w:rsidRPr="00A66326" w:rsidRDefault="00912904" w:rsidP="009303ED">
      <w:pPr>
        <w:spacing w:after="480"/>
        <w:rPr>
          <w:sz w:val="28"/>
        </w:rPr>
      </w:pPr>
      <w:r w:rsidRPr="00A66326">
        <w:rPr>
          <w:b/>
          <w:sz w:val="28"/>
        </w:rPr>
        <w:t>Date:</w:t>
      </w:r>
      <w:r w:rsidR="00E23991">
        <w:rPr>
          <w:b/>
          <w:sz w:val="28"/>
        </w:rPr>
        <w:t xml:space="preserve"> </w:t>
      </w:r>
      <w:r w:rsidR="00231DB8">
        <w:rPr>
          <w:b/>
          <w:sz w:val="28"/>
        </w:rPr>
        <w:t>1</w:t>
      </w:r>
      <w:r w:rsidR="00807A4C">
        <w:rPr>
          <w:b/>
          <w:sz w:val="28"/>
        </w:rPr>
        <w:t>6</w:t>
      </w:r>
      <w:r w:rsidR="009303ED">
        <w:rPr>
          <w:b/>
          <w:sz w:val="28"/>
        </w:rPr>
        <w:t xml:space="preserve"> </w:t>
      </w:r>
      <w:r w:rsidR="00807A4C">
        <w:rPr>
          <w:b/>
          <w:sz w:val="28"/>
        </w:rPr>
        <w:t>Octo</w:t>
      </w:r>
      <w:r w:rsidR="00A22721">
        <w:rPr>
          <w:b/>
          <w:sz w:val="28"/>
        </w:rPr>
        <w:t>ber</w:t>
      </w:r>
      <w:r w:rsidR="009303ED">
        <w:rPr>
          <w:b/>
          <w:sz w:val="28"/>
        </w:rPr>
        <w:t xml:space="preserve"> 2023</w:t>
      </w:r>
    </w:p>
    <w:p w14:paraId="2019A53D" w14:textId="7FD52E41" w:rsidR="00912904" w:rsidRPr="00A66326" w:rsidRDefault="004A4A1D" w:rsidP="00912904">
      <w:pPr>
        <w:rPr>
          <w:sz w:val="28"/>
        </w:rPr>
      </w:pPr>
      <w:r>
        <w:rPr>
          <w:b/>
          <w:sz w:val="28"/>
        </w:rPr>
        <w:t>Chief</w:t>
      </w:r>
      <w:r w:rsidR="00912904" w:rsidRPr="00A66326">
        <w:rPr>
          <w:b/>
          <w:sz w:val="28"/>
        </w:rPr>
        <w:t xml:space="preserve"> Officer:  </w:t>
      </w:r>
      <w:r w:rsidR="00A22721">
        <w:rPr>
          <w:b/>
          <w:sz w:val="28"/>
        </w:rPr>
        <w:t>Sharon Daniels</w:t>
      </w:r>
    </w:p>
    <w:p w14:paraId="12E4D11B" w14:textId="7C324D23" w:rsidR="00912904" w:rsidRPr="00A66326" w:rsidRDefault="00365D29" w:rsidP="00912904">
      <w:r>
        <w:t>Signed</w:t>
      </w:r>
      <w:r w:rsidR="00912904" w:rsidRPr="00A66326">
        <w:t xml:space="preserve"> </w:t>
      </w:r>
      <w:r w:rsidR="00017448">
        <w:t>on behalf of</w:t>
      </w:r>
      <w:r w:rsidR="00912904" w:rsidRPr="00A66326">
        <w:t xml:space="preserve"> the </w:t>
      </w:r>
      <w:r w:rsidR="006519E8">
        <w:t>Chief Executive</w:t>
      </w:r>
    </w:p>
    <w:p w14:paraId="0B8C3BCD" w14:textId="76615834" w:rsidR="009303ED" w:rsidRPr="00A66326" w:rsidRDefault="00912904" w:rsidP="009303ED">
      <w:pPr>
        <w:spacing w:after="480"/>
        <w:rPr>
          <w:sz w:val="28"/>
        </w:rPr>
      </w:pPr>
      <w:r w:rsidRPr="00A66326">
        <w:rPr>
          <w:b/>
          <w:sz w:val="28"/>
        </w:rPr>
        <w:t xml:space="preserve">Date:  </w:t>
      </w:r>
      <w:r w:rsidR="00231DB8">
        <w:rPr>
          <w:b/>
          <w:sz w:val="28"/>
        </w:rPr>
        <w:t>1</w:t>
      </w:r>
      <w:r w:rsidR="00807A4C">
        <w:rPr>
          <w:b/>
          <w:sz w:val="28"/>
        </w:rPr>
        <w:t>6</w:t>
      </w:r>
      <w:r w:rsidR="009303ED">
        <w:rPr>
          <w:b/>
          <w:sz w:val="28"/>
        </w:rPr>
        <w:t xml:space="preserve"> </w:t>
      </w:r>
      <w:r w:rsidR="00807A4C">
        <w:rPr>
          <w:b/>
          <w:sz w:val="28"/>
        </w:rPr>
        <w:t>Octo</w:t>
      </w:r>
      <w:r w:rsidR="00A22721">
        <w:rPr>
          <w:b/>
          <w:sz w:val="28"/>
        </w:rPr>
        <w:t>ber</w:t>
      </w:r>
      <w:r w:rsidR="009303ED">
        <w:rPr>
          <w:b/>
          <w:sz w:val="28"/>
        </w:rPr>
        <w:t xml:space="preserve"> 2023</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60BFDA03" w14:textId="77777777" w:rsidR="00183CB6" w:rsidRDefault="00183CB6" w:rsidP="00183CB6">
      <w:pPr>
        <w:pStyle w:val="Infotext"/>
        <w:rPr>
          <w:sz w:val="24"/>
          <w:szCs w:val="24"/>
        </w:rPr>
      </w:pPr>
      <w:r w:rsidRPr="00D914D2">
        <w:rPr>
          <w:b/>
        </w:rPr>
        <w:t>Contact:</w:t>
      </w:r>
      <w:r>
        <w:t xml:space="preserve">  </w:t>
      </w:r>
      <w:r>
        <w:rPr>
          <w:sz w:val="24"/>
          <w:szCs w:val="24"/>
        </w:rPr>
        <w:t xml:space="preserve">Bola Tobun – Treasury and </w:t>
      </w:r>
      <w:r w:rsidRPr="00A175BD">
        <w:rPr>
          <w:sz w:val="24"/>
          <w:szCs w:val="24"/>
        </w:rPr>
        <w:t xml:space="preserve">Pensions </w:t>
      </w:r>
      <w:r>
        <w:rPr>
          <w:sz w:val="24"/>
          <w:szCs w:val="24"/>
        </w:rPr>
        <w:t>Manager</w:t>
      </w:r>
    </w:p>
    <w:p w14:paraId="3B1B9F4C" w14:textId="77777777" w:rsidR="00183CB6" w:rsidRDefault="00183CB6" w:rsidP="00183CB6">
      <w:pPr>
        <w:pStyle w:val="Infotext"/>
        <w:rPr>
          <w:rStyle w:val="Hyperlink"/>
          <w:sz w:val="24"/>
          <w:szCs w:val="24"/>
        </w:rPr>
      </w:pPr>
      <w:r w:rsidRPr="00A175BD">
        <w:rPr>
          <w:sz w:val="24"/>
          <w:szCs w:val="24"/>
        </w:rPr>
        <w:t xml:space="preserve">Email: </w:t>
      </w:r>
      <w:hyperlink r:id="rId11" w:history="1">
        <w:r w:rsidRPr="001564E8">
          <w:rPr>
            <w:rStyle w:val="Hyperlink"/>
            <w:sz w:val="24"/>
            <w:szCs w:val="24"/>
          </w:rPr>
          <w:t>Bola.Tobun@harrow.gov.uk</w:t>
        </w:r>
      </w:hyperlink>
    </w:p>
    <w:p w14:paraId="2DBB0A44" w14:textId="77777777" w:rsidR="00183CB6" w:rsidRDefault="00183CB6" w:rsidP="00183CB6">
      <w:pPr>
        <w:pStyle w:val="Infotext"/>
        <w:rPr>
          <w:rStyle w:val="Hyperlink"/>
          <w:color w:val="auto"/>
          <w:sz w:val="24"/>
          <w:szCs w:val="24"/>
          <w:u w:val="none"/>
        </w:rPr>
      </w:pPr>
      <w:r w:rsidRPr="00DD6270">
        <w:rPr>
          <w:rStyle w:val="Hyperlink"/>
          <w:color w:val="auto"/>
          <w:sz w:val="24"/>
          <w:szCs w:val="24"/>
          <w:u w:val="none"/>
        </w:rPr>
        <w:t xml:space="preserve">Telephone 020 </w:t>
      </w:r>
      <w:r>
        <w:rPr>
          <w:rStyle w:val="Hyperlink"/>
          <w:color w:val="auto"/>
          <w:sz w:val="24"/>
          <w:szCs w:val="24"/>
          <w:u w:val="none"/>
        </w:rPr>
        <w:t>8420 9264</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E953" w14:textId="77777777" w:rsidR="00F81E2C" w:rsidRDefault="00F81E2C">
      <w:r>
        <w:separator/>
      </w:r>
    </w:p>
  </w:endnote>
  <w:endnote w:type="continuationSeparator" w:id="0">
    <w:p w14:paraId="7B326BCA" w14:textId="77777777" w:rsidR="00F81E2C" w:rsidRDefault="00F8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22B2" w14:textId="77777777" w:rsidR="00F81E2C" w:rsidRDefault="00F81E2C">
      <w:r>
        <w:separator/>
      </w:r>
    </w:p>
  </w:footnote>
  <w:footnote w:type="continuationSeparator" w:id="0">
    <w:p w14:paraId="2FDC58E7" w14:textId="77777777" w:rsidR="00F81E2C" w:rsidRDefault="00F8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ABC"/>
    <w:multiLevelType w:val="hybridMultilevel"/>
    <w:tmpl w:val="A96AC048"/>
    <w:lvl w:ilvl="0" w:tplc="AE7086E8">
      <w:start w:val="1"/>
      <w:numFmt w:val="decimal"/>
      <w:lvlText w:val="%1."/>
      <w:lvlJc w:val="left"/>
      <w:pPr>
        <w:tabs>
          <w:tab w:val="num" w:pos="584"/>
        </w:tabs>
        <w:ind w:left="584" w:hanging="397"/>
      </w:pPr>
      <w:rPr>
        <w:rFonts w:hint="default"/>
        <w:color w:val="auto"/>
      </w:rPr>
    </w:lvl>
    <w:lvl w:ilvl="1" w:tplc="04B6078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CB22F6"/>
    <w:multiLevelType w:val="hybridMultilevel"/>
    <w:tmpl w:val="AE0692D6"/>
    <w:lvl w:ilvl="0" w:tplc="49A6D8F0">
      <w:start w:val="1"/>
      <w:numFmt w:val="lowerRoman"/>
      <w:lvlText w:val="%1)"/>
      <w:lvlJc w:val="left"/>
      <w:pPr>
        <w:tabs>
          <w:tab w:val="num" w:pos="584"/>
        </w:tabs>
        <w:ind w:left="584" w:hanging="397"/>
      </w:pPr>
      <w:rPr>
        <w:rFonts w:hint="default"/>
        <w:color w:val="auto"/>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5815C5"/>
    <w:multiLevelType w:val="hybridMultilevel"/>
    <w:tmpl w:val="C83C3E54"/>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B305DF4"/>
    <w:multiLevelType w:val="hybridMultilevel"/>
    <w:tmpl w:val="71B6C388"/>
    <w:lvl w:ilvl="0" w:tplc="FFFFFFFF">
      <w:start w:val="1"/>
      <w:numFmt w:val="decimal"/>
      <w:lvlText w:val="%1."/>
      <w:lvlJc w:val="left"/>
      <w:pPr>
        <w:tabs>
          <w:tab w:val="num" w:pos="584"/>
        </w:tabs>
        <w:ind w:left="584" w:hanging="397"/>
      </w:pPr>
      <w:rPr>
        <w:rFonts w:hint="default"/>
        <w:color w:val="auto"/>
      </w:rPr>
    </w:lvl>
    <w:lvl w:ilvl="1" w:tplc="49A6D8F0">
      <w:start w:val="1"/>
      <w:numFmt w:val="lowerRoman"/>
      <w:lvlText w:val="%2)"/>
      <w:lvlJc w:val="left"/>
      <w:pPr>
        <w:ind w:left="644"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17F643B"/>
    <w:multiLevelType w:val="hybridMultilevel"/>
    <w:tmpl w:val="C81C97C0"/>
    <w:lvl w:ilvl="0" w:tplc="FFFFFFFF">
      <w:start w:val="1"/>
      <w:numFmt w:val="decimal"/>
      <w:lvlText w:val="%1."/>
      <w:lvlJc w:val="left"/>
      <w:pPr>
        <w:ind w:left="720" w:hanging="360"/>
      </w:pPr>
      <w:rPr>
        <w:rFonts w:hint="default"/>
        <w:b w:val="0"/>
        <w:color w:val="auto"/>
      </w:rPr>
    </w:lvl>
    <w:lvl w:ilvl="1" w:tplc="256268D8">
      <w:start w:val="1"/>
      <w:numFmt w:val="lowerLetter"/>
      <w:lvlText w:val="%2."/>
      <w:lvlJc w:val="left"/>
      <w:pPr>
        <w:ind w:left="1733" w:hanging="653"/>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6" w15:restartNumberingAfterBreak="0">
    <w:nsid w:val="4C8E3236"/>
    <w:multiLevelType w:val="hybridMultilevel"/>
    <w:tmpl w:val="5086BAC8"/>
    <w:lvl w:ilvl="0" w:tplc="08090017">
      <w:start w:val="1"/>
      <w:numFmt w:val="lowerLetter"/>
      <w:lvlText w:val="%1)"/>
      <w:lvlJc w:val="left"/>
      <w:pPr>
        <w:tabs>
          <w:tab w:val="num" w:pos="681"/>
        </w:tabs>
        <w:ind w:left="681" w:hanging="397"/>
      </w:pPr>
      <w:rPr>
        <w:rFonts w:hint="default"/>
        <w:color w:val="auto"/>
      </w:rPr>
    </w:lvl>
    <w:lvl w:ilvl="1" w:tplc="FFFFFFFF">
      <w:start w:val="1"/>
      <w:numFmt w:val="lowerLetter"/>
      <w:lvlText w:val="%2)"/>
      <w:lvlJc w:val="left"/>
      <w:pPr>
        <w:ind w:left="1537" w:hanging="360"/>
      </w:pPr>
      <w:rPr>
        <w:rFonts w:hint="default"/>
      </w:rPr>
    </w:lvl>
    <w:lvl w:ilvl="2" w:tplc="FFFFFFFF" w:tentative="1">
      <w:start w:val="1"/>
      <w:numFmt w:val="lowerRoman"/>
      <w:lvlText w:val="%3."/>
      <w:lvlJc w:val="right"/>
      <w:pPr>
        <w:tabs>
          <w:tab w:val="num" w:pos="2257"/>
        </w:tabs>
        <w:ind w:left="2257" w:hanging="180"/>
      </w:pPr>
    </w:lvl>
    <w:lvl w:ilvl="3" w:tplc="FFFFFFFF" w:tentative="1">
      <w:start w:val="1"/>
      <w:numFmt w:val="decimal"/>
      <w:lvlText w:val="%4."/>
      <w:lvlJc w:val="left"/>
      <w:pPr>
        <w:tabs>
          <w:tab w:val="num" w:pos="2977"/>
        </w:tabs>
        <w:ind w:left="2977" w:hanging="360"/>
      </w:pPr>
    </w:lvl>
    <w:lvl w:ilvl="4" w:tplc="FFFFFFFF" w:tentative="1">
      <w:start w:val="1"/>
      <w:numFmt w:val="lowerLetter"/>
      <w:lvlText w:val="%5."/>
      <w:lvlJc w:val="left"/>
      <w:pPr>
        <w:tabs>
          <w:tab w:val="num" w:pos="3697"/>
        </w:tabs>
        <w:ind w:left="3697" w:hanging="360"/>
      </w:pPr>
    </w:lvl>
    <w:lvl w:ilvl="5" w:tplc="FFFFFFFF" w:tentative="1">
      <w:start w:val="1"/>
      <w:numFmt w:val="lowerRoman"/>
      <w:lvlText w:val="%6."/>
      <w:lvlJc w:val="right"/>
      <w:pPr>
        <w:tabs>
          <w:tab w:val="num" w:pos="4417"/>
        </w:tabs>
        <w:ind w:left="4417" w:hanging="180"/>
      </w:pPr>
    </w:lvl>
    <w:lvl w:ilvl="6" w:tplc="FFFFFFFF" w:tentative="1">
      <w:start w:val="1"/>
      <w:numFmt w:val="decimal"/>
      <w:lvlText w:val="%7."/>
      <w:lvlJc w:val="left"/>
      <w:pPr>
        <w:tabs>
          <w:tab w:val="num" w:pos="5137"/>
        </w:tabs>
        <w:ind w:left="5137" w:hanging="360"/>
      </w:pPr>
    </w:lvl>
    <w:lvl w:ilvl="7" w:tplc="FFFFFFFF" w:tentative="1">
      <w:start w:val="1"/>
      <w:numFmt w:val="lowerLetter"/>
      <w:lvlText w:val="%8."/>
      <w:lvlJc w:val="left"/>
      <w:pPr>
        <w:tabs>
          <w:tab w:val="num" w:pos="5857"/>
        </w:tabs>
        <w:ind w:left="5857" w:hanging="360"/>
      </w:pPr>
    </w:lvl>
    <w:lvl w:ilvl="8" w:tplc="FFFFFFFF" w:tentative="1">
      <w:start w:val="1"/>
      <w:numFmt w:val="lowerRoman"/>
      <w:lvlText w:val="%9."/>
      <w:lvlJc w:val="right"/>
      <w:pPr>
        <w:tabs>
          <w:tab w:val="num" w:pos="6577"/>
        </w:tabs>
        <w:ind w:left="6577" w:hanging="180"/>
      </w:pPr>
    </w:lvl>
  </w:abstractNum>
  <w:abstractNum w:abstractNumId="7" w15:restartNumberingAfterBreak="0">
    <w:nsid w:val="4CDC57B0"/>
    <w:multiLevelType w:val="hybridMultilevel"/>
    <w:tmpl w:val="A9C0979C"/>
    <w:lvl w:ilvl="0" w:tplc="49A6D8F0">
      <w:start w:val="1"/>
      <w:numFmt w:val="lowerRoman"/>
      <w:lvlText w:val="%1)"/>
      <w:lvlJc w:val="left"/>
      <w:pPr>
        <w:tabs>
          <w:tab w:val="num" w:pos="584"/>
        </w:tabs>
        <w:ind w:left="584" w:hanging="397"/>
      </w:pPr>
      <w:rPr>
        <w:rFonts w:hint="default"/>
        <w:color w:val="auto"/>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0453D61"/>
    <w:multiLevelType w:val="hybridMultilevel"/>
    <w:tmpl w:val="E8663380"/>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1DE5828"/>
    <w:multiLevelType w:val="hybridMultilevel"/>
    <w:tmpl w:val="0ED2EEAA"/>
    <w:lvl w:ilvl="0" w:tplc="49A6D8F0">
      <w:start w:val="1"/>
      <w:numFmt w:val="lowerRoman"/>
      <w:lvlText w:val="%1)"/>
      <w:lvlJc w:val="lef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6F0E3C27"/>
    <w:multiLevelType w:val="hybridMultilevel"/>
    <w:tmpl w:val="CF7A0C2A"/>
    <w:lvl w:ilvl="0" w:tplc="FFFFFFFF">
      <w:start w:val="1"/>
      <w:numFmt w:val="decimal"/>
      <w:lvlText w:val="%1."/>
      <w:lvlJc w:val="left"/>
      <w:pPr>
        <w:ind w:left="720" w:hanging="360"/>
      </w:pPr>
      <w:rPr>
        <w:rFonts w:hint="default"/>
        <w:b w:val="0"/>
        <w:color w:val="auto"/>
      </w:rPr>
    </w:lvl>
    <w:lvl w:ilvl="1" w:tplc="49A6D8F0">
      <w:start w:val="1"/>
      <w:numFmt w:val="lowerRoman"/>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6103D2"/>
    <w:multiLevelType w:val="hybridMultilevel"/>
    <w:tmpl w:val="37ECDEEC"/>
    <w:lvl w:ilvl="0" w:tplc="8A6E422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F442319"/>
    <w:multiLevelType w:val="hybridMultilevel"/>
    <w:tmpl w:val="5120C6F8"/>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395205232">
    <w:abstractNumId w:val="5"/>
  </w:num>
  <w:num w:numId="2" w16cid:durableId="530610452">
    <w:abstractNumId w:val="0"/>
  </w:num>
  <w:num w:numId="3" w16cid:durableId="1553232947">
    <w:abstractNumId w:val="2"/>
  </w:num>
  <w:num w:numId="4" w16cid:durableId="333533471">
    <w:abstractNumId w:val="8"/>
  </w:num>
  <w:num w:numId="5" w16cid:durableId="1816528910">
    <w:abstractNumId w:val="6"/>
  </w:num>
  <w:num w:numId="6" w16cid:durableId="467206166">
    <w:abstractNumId w:val="12"/>
  </w:num>
  <w:num w:numId="7" w16cid:durableId="499780351">
    <w:abstractNumId w:val="4"/>
  </w:num>
  <w:num w:numId="8" w16cid:durableId="234321219">
    <w:abstractNumId w:val="9"/>
  </w:num>
  <w:num w:numId="9" w16cid:durableId="1780489370">
    <w:abstractNumId w:val="10"/>
  </w:num>
  <w:num w:numId="10" w16cid:durableId="479922787">
    <w:abstractNumId w:val="3"/>
  </w:num>
  <w:num w:numId="11" w16cid:durableId="783228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3699883">
    <w:abstractNumId w:val="7"/>
  </w:num>
  <w:num w:numId="13" w16cid:durableId="182419706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D28"/>
    <w:rsid w:val="00007359"/>
    <w:rsid w:val="000148C5"/>
    <w:rsid w:val="00017448"/>
    <w:rsid w:val="00023F4C"/>
    <w:rsid w:val="000526EB"/>
    <w:rsid w:val="00057F10"/>
    <w:rsid w:val="00061BEF"/>
    <w:rsid w:val="000633A2"/>
    <w:rsid w:val="000672B2"/>
    <w:rsid w:val="00071EB4"/>
    <w:rsid w:val="0007289E"/>
    <w:rsid w:val="00074CA8"/>
    <w:rsid w:val="00077298"/>
    <w:rsid w:val="00095463"/>
    <w:rsid w:val="00095E9F"/>
    <w:rsid w:val="000A0114"/>
    <w:rsid w:val="000A58A1"/>
    <w:rsid w:val="000A6659"/>
    <w:rsid w:val="000B0E6F"/>
    <w:rsid w:val="000B6DBB"/>
    <w:rsid w:val="000D0D4B"/>
    <w:rsid w:val="000D1159"/>
    <w:rsid w:val="000D2BF2"/>
    <w:rsid w:val="000D5870"/>
    <w:rsid w:val="000E1DF6"/>
    <w:rsid w:val="000F3D82"/>
    <w:rsid w:val="000F65C0"/>
    <w:rsid w:val="00131AED"/>
    <w:rsid w:val="00135B2B"/>
    <w:rsid w:val="001429F9"/>
    <w:rsid w:val="00143EFA"/>
    <w:rsid w:val="001562C2"/>
    <w:rsid w:val="00164428"/>
    <w:rsid w:val="00164E26"/>
    <w:rsid w:val="001744D1"/>
    <w:rsid w:val="00183CB6"/>
    <w:rsid w:val="00192DF2"/>
    <w:rsid w:val="001939BA"/>
    <w:rsid w:val="001964FD"/>
    <w:rsid w:val="001A319C"/>
    <w:rsid w:val="001A63E1"/>
    <w:rsid w:val="001A6EB0"/>
    <w:rsid w:val="001A7DB6"/>
    <w:rsid w:val="001B1A2E"/>
    <w:rsid w:val="001B441D"/>
    <w:rsid w:val="001C3C15"/>
    <w:rsid w:val="001C5225"/>
    <w:rsid w:val="001C5A26"/>
    <w:rsid w:val="001C7067"/>
    <w:rsid w:val="001C7629"/>
    <w:rsid w:val="001E0219"/>
    <w:rsid w:val="001E752F"/>
    <w:rsid w:val="001F6359"/>
    <w:rsid w:val="00201A56"/>
    <w:rsid w:val="002025B3"/>
    <w:rsid w:val="002078C0"/>
    <w:rsid w:val="00213BE7"/>
    <w:rsid w:val="00214C40"/>
    <w:rsid w:val="00231A1D"/>
    <w:rsid w:val="00231DB8"/>
    <w:rsid w:val="00244120"/>
    <w:rsid w:val="0024584C"/>
    <w:rsid w:val="0027351E"/>
    <w:rsid w:val="00282DAB"/>
    <w:rsid w:val="00286484"/>
    <w:rsid w:val="0029126E"/>
    <w:rsid w:val="00293F9F"/>
    <w:rsid w:val="002A16EA"/>
    <w:rsid w:val="002A2389"/>
    <w:rsid w:val="002C08E2"/>
    <w:rsid w:val="002C1794"/>
    <w:rsid w:val="002C2EDC"/>
    <w:rsid w:val="002D2FC5"/>
    <w:rsid w:val="002E6637"/>
    <w:rsid w:val="002E77E3"/>
    <w:rsid w:val="00300B52"/>
    <w:rsid w:val="003151E1"/>
    <w:rsid w:val="00324778"/>
    <w:rsid w:val="00332947"/>
    <w:rsid w:val="00333EB4"/>
    <w:rsid w:val="00340BE8"/>
    <w:rsid w:val="003453FF"/>
    <w:rsid w:val="00345915"/>
    <w:rsid w:val="00346244"/>
    <w:rsid w:val="003500A1"/>
    <w:rsid w:val="00351F6B"/>
    <w:rsid w:val="00365D29"/>
    <w:rsid w:val="00374F22"/>
    <w:rsid w:val="003D2FFE"/>
    <w:rsid w:val="003D5F0A"/>
    <w:rsid w:val="003E32E0"/>
    <w:rsid w:val="003E70EC"/>
    <w:rsid w:val="003F0B3C"/>
    <w:rsid w:val="003F385A"/>
    <w:rsid w:val="003F5AF9"/>
    <w:rsid w:val="00400032"/>
    <w:rsid w:val="00414C40"/>
    <w:rsid w:val="0042394B"/>
    <w:rsid w:val="0044467B"/>
    <w:rsid w:val="0045301E"/>
    <w:rsid w:val="0045365E"/>
    <w:rsid w:val="004540B8"/>
    <w:rsid w:val="004552F7"/>
    <w:rsid w:val="00473B08"/>
    <w:rsid w:val="00473E72"/>
    <w:rsid w:val="00474B5F"/>
    <w:rsid w:val="00480F0B"/>
    <w:rsid w:val="004A3CE6"/>
    <w:rsid w:val="004A4A1D"/>
    <w:rsid w:val="004B2C9D"/>
    <w:rsid w:val="004B4A47"/>
    <w:rsid w:val="004C1AEC"/>
    <w:rsid w:val="004D6E36"/>
    <w:rsid w:val="004E3FBD"/>
    <w:rsid w:val="004E667D"/>
    <w:rsid w:val="004E6AF9"/>
    <w:rsid w:val="004F6C28"/>
    <w:rsid w:val="004F6DD8"/>
    <w:rsid w:val="00502F94"/>
    <w:rsid w:val="005031DF"/>
    <w:rsid w:val="0050363C"/>
    <w:rsid w:val="00506391"/>
    <w:rsid w:val="00515B5F"/>
    <w:rsid w:val="00517A3F"/>
    <w:rsid w:val="0053037D"/>
    <w:rsid w:val="00533720"/>
    <w:rsid w:val="005372C0"/>
    <w:rsid w:val="0053781D"/>
    <w:rsid w:val="0056001D"/>
    <w:rsid w:val="005608EF"/>
    <w:rsid w:val="00561EC5"/>
    <w:rsid w:val="0057130D"/>
    <w:rsid w:val="00571F48"/>
    <w:rsid w:val="005821C4"/>
    <w:rsid w:val="00590511"/>
    <w:rsid w:val="00591E93"/>
    <w:rsid w:val="00594A34"/>
    <w:rsid w:val="00597314"/>
    <w:rsid w:val="005A61AF"/>
    <w:rsid w:val="005B1C57"/>
    <w:rsid w:val="005C02D3"/>
    <w:rsid w:val="005C4F9B"/>
    <w:rsid w:val="005D0886"/>
    <w:rsid w:val="005D0D93"/>
    <w:rsid w:val="005D43D1"/>
    <w:rsid w:val="005E384D"/>
    <w:rsid w:val="005F2181"/>
    <w:rsid w:val="005F724B"/>
    <w:rsid w:val="00603EC9"/>
    <w:rsid w:val="00606705"/>
    <w:rsid w:val="00625DFF"/>
    <w:rsid w:val="0063072B"/>
    <w:rsid w:val="00644082"/>
    <w:rsid w:val="006519E8"/>
    <w:rsid w:val="00662891"/>
    <w:rsid w:val="006628B7"/>
    <w:rsid w:val="00675FCB"/>
    <w:rsid w:val="006827BE"/>
    <w:rsid w:val="00690F76"/>
    <w:rsid w:val="00696012"/>
    <w:rsid w:val="006A0B87"/>
    <w:rsid w:val="006A6A85"/>
    <w:rsid w:val="006B3942"/>
    <w:rsid w:val="006C1B8B"/>
    <w:rsid w:val="006C3914"/>
    <w:rsid w:val="006C4D4C"/>
    <w:rsid w:val="006D0E7A"/>
    <w:rsid w:val="006D3648"/>
    <w:rsid w:val="006D754A"/>
    <w:rsid w:val="006E38C6"/>
    <w:rsid w:val="006E5A21"/>
    <w:rsid w:val="00716046"/>
    <w:rsid w:val="00717E8A"/>
    <w:rsid w:val="00724C82"/>
    <w:rsid w:val="00733008"/>
    <w:rsid w:val="0074184E"/>
    <w:rsid w:val="00743829"/>
    <w:rsid w:val="00751C86"/>
    <w:rsid w:val="00755881"/>
    <w:rsid w:val="00755F8D"/>
    <w:rsid w:val="00784A42"/>
    <w:rsid w:val="007855AE"/>
    <w:rsid w:val="00796503"/>
    <w:rsid w:val="0079669A"/>
    <w:rsid w:val="007A37A4"/>
    <w:rsid w:val="007A42EC"/>
    <w:rsid w:val="007B0CB6"/>
    <w:rsid w:val="007B1BBB"/>
    <w:rsid w:val="007B6C97"/>
    <w:rsid w:val="007B7A39"/>
    <w:rsid w:val="007D2BDA"/>
    <w:rsid w:val="007D56C8"/>
    <w:rsid w:val="007E3934"/>
    <w:rsid w:val="007E430C"/>
    <w:rsid w:val="007E7303"/>
    <w:rsid w:val="007E7AA4"/>
    <w:rsid w:val="00804C61"/>
    <w:rsid w:val="00807A4C"/>
    <w:rsid w:val="00810014"/>
    <w:rsid w:val="00817E0F"/>
    <w:rsid w:val="008212A0"/>
    <w:rsid w:val="0082172F"/>
    <w:rsid w:val="00827F49"/>
    <w:rsid w:val="00837F53"/>
    <w:rsid w:val="00837FA7"/>
    <w:rsid w:val="00846323"/>
    <w:rsid w:val="00850F6E"/>
    <w:rsid w:val="00855316"/>
    <w:rsid w:val="00856D5B"/>
    <w:rsid w:val="00857085"/>
    <w:rsid w:val="0086270A"/>
    <w:rsid w:val="00862DDC"/>
    <w:rsid w:val="00882D18"/>
    <w:rsid w:val="0088507E"/>
    <w:rsid w:val="0088617A"/>
    <w:rsid w:val="00887BE6"/>
    <w:rsid w:val="008A19F1"/>
    <w:rsid w:val="008A49F2"/>
    <w:rsid w:val="008D1750"/>
    <w:rsid w:val="008D7800"/>
    <w:rsid w:val="008E0CFC"/>
    <w:rsid w:val="008E2910"/>
    <w:rsid w:val="008E4913"/>
    <w:rsid w:val="008F690E"/>
    <w:rsid w:val="00900464"/>
    <w:rsid w:val="0090100E"/>
    <w:rsid w:val="00910DEB"/>
    <w:rsid w:val="00912904"/>
    <w:rsid w:val="00921889"/>
    <w:rsid w:val="00925584"/>
    <w:rsid w:val="009303ED"/>
    <w:rsid w:val="0093767E"/>
    <w:rsid w:val="00940DC6"/>
    <w:rsid w:val="00960AE2"/>
    <w:rsid w:val="00972A02"/>
    <w:rsid w:val="0099517C"/>
    <w:rsid w:val="009A0937"/>
    <w:rsid w:val="009B2ECD"/>
    <w:rsid w:val="009B7914"/>
    <w:rsid w:val="009D17DE"/>
    <w:rsid w:val="009F430B"/>
    <w:rsid w:val="009F561C"/>
    <w:rsid w:val="00A160B2"/>
    <w:rsid w:val="00A16271"/>
    <w:rsid w:val="00A22721"/>
    <w:rsid w:val="00A23254"/>
    <w:rsid w:val="00A41E88"/>
    <w:rsid w:val="00A45751"/>
    <w:rsid w:val="00A566E7"/>
    <w:rsid w:val="00A630BF"/>
    <w:rsid w:val="00A63331"/>
    <w:rsid w:val="00A72DC9"/>
    <w:rsid w:val="00A73B25"/>
    <w:rsid w:val="00A77232"/>
    <w:rsid w:val="00A940D3"/>
    <w:rsid w:val="00A96FCA"/>
    <w:rsid w:val="00AA3C21"/>
    <w:rsid w:val="00AA4452"/>
    <w:rsid w:val="00AA4BE8"/>
    <w:rsid w:val="00AB15E8"/>
    <w:rsid w:val="00AB71A9"/>
    <w:rsid w:val="00AB7E48"/>
    <w:rsid w:val="00AC01E2"/>
    <w:rsid w:val="00AC0AAB"/>
    <w:rsid w:val="00AC5593"/>
    <w:rsid w:val="00AC7BA9"/>
    <w:rsid w:val="00AD70FE"/>
    <w:rsid w:val="00AE776B"/>
    <w:rsid w:val="00AF2168"/>
    <w:rsid w:val="00B0421D"/>
    <w:rsid w:val="00B0425E"/>
    <w:rsid w:val="00B06749"/>
    <w:rsid w:val="00B161A9"/>
    <w:rsid w:val="00B21B93"/>
    <w:rsid w:val="00B21EEA"/>
    <w:rsid w:val="00B47A22"/>
    <w:rsid w:val="00B562B1"/>
    <w:rsid w:val="00B87E80"/>
    <w:rsid w:val="00B900E2"/>
    <w:rsid w:val="00B902AE"/>
    <w:rsid w:val="00B9118E"/>
    <w:rsid w:val="00B93DE8"/>
    <w:rsid w:val="00BC7689"/>
    <w:rsid w:val="00BD5C17"/>
    <w:rsid w:val="00BD6115"/>
    <w:rsid w:val="00BD684A"/>
    <w:rsid w:val="00BF72C7"/>
    <w:rsid w:val="00C00A47"/>
    <w:rsid w:val="00C13B81"/>
    <w:rsid w:val="00C20FA2"/>
    <w:rsid w:val="00C2411E"/>
    <w:rsid w:val="00C24A81"/>
    <w:rsid w:val="00C32DAE"/>
    <w:rsid w:val="00C362B9"/>
    <w:rsid w:val="00C40E24"/>
    <w:rsid w:val="00C43F54"/>
    <w:rsid w:val="00C61B80"/>
    <w:rsid w:val="00C64697"/>
    <w:rsid w:val="00C85F88"/>
    <w:rsid w:val="00C92D9A"/>
    <w:rsid w:val="00C96EF5"/>
    <w:rsid w:val="00CC2663"/>
    <w:rsid w:val="00CD41F1"/>
    <w:rsid w:val="00CE1D3C"/>
    <w:rsid w:val="00CE357B"/>
    <w:rsid w:val="00CE4CCF"/>
    <w:rsid w:val="00CE6980"/>
    <w:rsid w:val="00CF0F17"/>
    <w:rsid w:val="00CF1560"/>
    <w:rsid w:val="00CF5370"/>
    <w:rsid w:val="00D03EA3"/>
    <w:rsid w:val="00D14543"/>
    <w:rsid w:val="00D17F92"/>
    <w:rsid w:val="00D24092"/>
    <w:rsid w:val="00D25064"/>
    <w:rsid w:val="00D32B51"/>
    <w:rsid w:val="00D34668"/>
    <w:rsid w:val="00D3740E"/>
    <w:rsid w:val="00D40335"/>
    <w:rsid w:val="00D405F6"/>
    <w:rsid w:val="00D419E6"/>
    <w:rsid w:val="00D56D80"/>
    <w:rsid w:val="00D82F57"/>
    <w:rsid w:val="00D841A5"/>
    <w:rsid w:val="00D84240"/>
    <w:rsid w:val="00D914D2"/>
    <w:rsid w:val="00D91E89"/>
    <w:rsid w:val="00DA25DB"/>
    <w:rsid w:val="00DB0791"/>
    <w:rsid w:val="00DC2C04"/>
    <w:rsid w:val="00DC5D82"/>
    <w:rsid w:val="00DC7B96"/>
    <w:rsid w:val="00DD4251"/>
    <w:rsid w:val="00DF30E7"/>
    <w:rsid w:val="00E02B50"/>
    <w:rsid w:val="00E03F11"/>
    <w:rsid w:val="00E06DC8"/>
    <w:rsid w:val="00E1468F"/>
    <w:rsid w:val="00E220B5"/>
    <w:rsid w:val="00E23991"/>
    <w:rsid w:val="00E27748"/>
    <w:rsid w:val="00E32F3A"/>
    <w:rsid w:val="00E33D93"/>
    <w:rsid w:val="00E53623"/>
    <w:rsid w:val="00E54E13"/>
    <w:rsid w:val="00E609EF"/>
    <w:rsid w:val="00E6612A"/>
    <w:rsid w:val="00E8515B"/>
    <w:rsid w:val="00E90AFF"/>
    <w:rsid w:val="00E94032"/>
    <w:rsid w:val="00EA3534"/>
    <w:rsid w:val="00EC70CD"/>
    <w:rsid w:val="00EC7962"/>
    <w:rsid w:val="00ED3F31"/>
    <w:rsid w:val="00ED48C9"/>
    <w:rsid w:val="00EF2F91"/>
    <w:rsid w:val="00F10314"/>
    <w:rsid w:val="00F22AFB"/>
    <w:rsid w:val="00F23DA0"/>
    <w:rsid w:val="00F27FEE"/>
    <w:rsid w:val="00F33EE3"/>
    <w:rsid w:val="00F4213B"/>
    <w:rsid w:val="00F57FB4"/>
    <w:rsid w:val="00F65E9D"/>
    <w:rsid w:val="00F7686B"/>
    <w:rsid w:val="00F806B8"/>
    <w:rsid w:val="00F81E2C"/>
    <w:rsid w:val="00F849ED"/>
    <w:rsid w:val="00F92398"/>
    <w:rsid w:val="00FC0D9D"/>
    <w:rsid w:val="00FC3F6A"/>
    <w:rsid w:val="00FD0AAC"/>
    <w:rsid w:val="00FD31A0"/>
    <w:rsid w:val="00FD5078"/>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ED5E"/>
  <w15:docId w15:val="{3F88F4F6-9EFD-4343-84AC-797910D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744D1"/>
    <w:rPr>
      <w:rFonts w:ascii="Calibri" w:eastAsiaTheme="minorHAnsi" w:hAnsi="Calibri" w:cs="Calibri"/>
      <w:sz w:val="22"/>
      <w:szCs w:val="22"/>
    </w:rPr>
  </w:style>
  <w:style w:type="character" w:styleId="CommentReference">
    <w:name w:val="annotation reference"/>
    <w:basedOn w:val="DefaultParagraphFont"/>
    <w:semiHidden/>
    <w:unhideWhenUsed/>
    <w:rsid w:val="005608EF"/>
    <w:rPr>
      <w:sz w:val="16"/>
      <w:szCs w:val="16"/>
    </w:rPr>
  </w:style>
  <w:style w:type="paragraph" w:styleId="CommentText">
    <w:name w:val="annotation text"/>
    <w:basedOn w:val="Normal"/>
    <w:link w:val="CommentTextChar"/>
    <w:unhideWhenUsed/>
    <w:rsid w:val="005608EF"/>
    <w:rPr>
      <w:sz w:val="20"/>
    </w:rPr>
  </w:style>
  <w:style w:type="character" w:customStyle="1" w:styleId="CommentTextChar">
    <w:name w:val="Comment Text Char"/>
    <w:basedOn w:val="DefaultParagraphFont"/>
    <w:link w:val="CommentText"/>
    <w:rsid w:val="005608EF"/>
    <w:rPr>
      <w:rFonts w:ascii="Arial" w:hAnsi="Arial"/>
      <w:lang w:eastAsia="en-US"/>
    </w:rPr>
  </w:style>
  <w:style w:type="paragraph" w:styleId="CommentSubject">
    <w:name w:val="annotation subject"/>
    <w:basedOn w:val="CommentText"/>
    <w:next w:val="CommentText"/>
    <w:link w:val="CommentSubjectChar"/>
    <w:semiHidden/>
    <w:unhideWhenUsed/>
    <w:rsid w:val="005608EF"/>
    <w:rPr>
      <w:b/>
      <w:bCs/>
    </w:rPr>
  </w:style>
  <w:style w:type="character" w:customStyle="1" w:styleId="CommentSubjectChar">
    <w:name w:val="Comment Subject Char"/>
    <w:basedOn w:val="CommentTextChar"/>
    <w:link w:val="CommentSubject"/>
    <w:semiHidden/>
    <w:rsid w:val="005608EF"/>
    <w:rPr>
      <w:rFonts w:ascii="Arial" w:hAnsi="Arial"/>
      <w:b/>
      <w:bCs/>
      <w:lang w:eastAsia="en-US"/>
    </w:rPr>
  </w:style>
  <w:style w:type="paragraph" w:customStyle="1" w:styleId="xxmsonormal">
    <w:name w:val="x_xmsonormal"/>
    <w:basedOn w:val="Normal"/>
    <w:rsid w:val="00CF0F17"/>
    <w:rPr>
      <w:rFonts w:ascii="Calibri" w:eastAsiaTheme="minorHAnsi" w:hAnsi="Calibri" w:cs="Calibri"/>
      <w:sz w:val="22"/>
      <w:szCs w:val="22"/>
      <w:lang w:eastAsia="en-GB"/>
    </w:rPr>
  </w:style>
  <w:style w:type="paragraph" w:customStyle="1" w:styleId="xxmsolistparagraph">
    <w:name w:val="x_xmsolistparagraph"/>
    <w:basedOn w:val="Normal"/>
    <w:rsid w:val="00CF0F17"/>
    <w:pPr>
      <w:ind w:left="720"/>
    </w:pPr>
    <w:rPr>
      <w:rFonts w:ascii="Calibri" w:eastAsiaTheme="minorHAnsi" w:hAnsi="Calibri" w:cs="Calibri"/>
      <w:sz w:val="22"/>
      <w:szCs w:val="22"/>
      <w:lang w:eastAsia="en-GB"/>
    </w:rPr>
  </w:style>
  <w:style w:type="paragraph" w:styleId="Revision">
    <w:name w:val="Revision"/>
    <w:hidden/>
    <w:uiPriority w:val="99"/>
    <w:semiHidden/>
    <w:rsid w:val="00F27FE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0292">
      <w:bodyDiv w:val="1"/>
      <w:marLeft w:val="0"/>
      <w:marRight w:val="0"/>
      <w:marTop w:val="0"/>
      <w:marBottom w:val="0"/>
      <w:divBdr>
        <w:top w:val="none" w:sz="0" w:space="0" w:color="auto"/>
        <w:left w:val="none" w:sz="0" w:space="0" w:color="auto"/>
        <w:bottom w:val="none" w:sz="0" w:space="0" w:color="auto"/>
        <w:right w:val="none" w:sz="0" w:space="0" w:color="auto"/>
      </w:divBdr>
    </w:div>
    <w:div w:id="435174311">
      <w:bodyDiv w:val="1"/>
      <w:marLeft w:val="0"/>
      <w:marRight w:val="0"/>
      <w:marTop w:val="0"/>
      <w:marBottom w:val="0"/>
      <w:divBdr>
        <w:top w:val="none" w:sz="0" w:space="0" w:color="auto"/>
        <w:left w:val="none" w:sz="0" w:space="0" w:color="auto"/>
        <w:bottom w:val="none" w:sz="0" w:space="0" w:color="auto"/>
        <w:right w:val="none" w:sz="0" w:space="0" w:color="auto"/>
      </w:divBdr>
    </w:div>
    <w:div w:id="562915109">
      <w:bodyDiv w:val="1"/>
      <w:marLeft w:val="0"/>
      <w:marRight w:val="0"/>
      <w:marTop w:val="0"/>
      <w:marBottom w:val="0"/>
      <w:divBdr>
        <w:top w:val="none" w:sz="0" w:space="0" w:color="auto"/>
        <w:left w:val="none" w:sz="0" w:space="0" w:color="auto"/>
        <w:bottom w:val="none" w:sz="0" w:space="0" w:color="auto"/>
        <w:right w:val="none" w:sz="0" w:space="0" w:color="auto"/>
      </w:divBdr>
    </w:div>
    <w:div w:id="563880211">
      <w:bodyDiv w:val="1"/>
      <w:marLeft w:val="0"/>
      <w:marRight w:val="0"/>
      <w:marTop w:val="0"/>
      <w:marBottom w:val="0"/>
      <w:divBdr>
        <w:top w:val="none" w:sz="0" w:space="0" w:color="auto"/>
        <w:left w:val="none" w:sz="0" w:space="0" w:color="auto"/>
        <w:bottom w:val="none" w:sz="0" w:space="0" w:color="auto"/>
        <w:right w:val="none" w:sz="0" w:space="0" w:color="auto"/>
      </w:divBdr>
    </w:div>
    <w:div w:id="597374960">
      <w:bodyDiv w:val="1"/>
      <w:marLeft w:val="0"/>
      <w:marRight w:val="0"/>
      <w:marTop w:val="0"/>
      <w:marBottom w:val="0"/>
      <w:divBdr>
        <w:top w:val="none" w:sz="0" w:space="0" w:color="auto"/>
        <w:left w:val="none" w:sz="0" w:space="0" w:color="auto"/>
        <w:bottom w:val="none" w:sz="0" w:space="0" w:color="auto"/>
        <w:right w:val="none" w:sz="0" w:space="0" w:color="auto"/>
      </w:divBdr>
    </w:div>
    <w:div w:id="888223075">
      <w:bodyDiv w:val="1"/>
      <w:marLeft w:val="0"/>
      <w:marRight w:val="0"/>
      <w:marTop w:val="0"/>
      <w:marBottom w:val="0"/>
      <w:divBdr>
        <w:top w:val="none" w:sz="0" w:space="0" w:color="auto"/>
        <w:left w:val="none" w:sz="0" w:space="0" w:color="auto"/>
        <w:bottom w:val="none" w:sz="0" w:space="0" w:color="auto"/>
        <w:right w:val="none" w:sz="0" w:space="0" w:color="auto"/>
      </w:divBdr>
    </w:div>
    <w:div w:id="1011298415">
      <w:bodyDiv w:val="1"/>
      <w:marLeft w:val="0"/>
      <w:marRight w:val="0"/>
      <w:marTop w:val="0"/>
      <w:marBottom w:val="0"/>
      <w:divBdr>
        <w:top w:val="none" w:sz="0" w:space="0" w:color="auto"/>
        <w:left w:val="none" w:sz="0" w:space="0" w:color="auto"/>
        <w:bottom w:val="none" w:sz="0" w:space="0" w:color="auto"/>
        <w:right w:val="none" w:sz="0" w:space="0" w:color="auto"/>
      </w:divBdr>
    </w:div>
    <w:div w:id="1240865740">
      <w:bodyDiv w:val="1"/>
      <w:marLeft w:val="0"/>
      <w:marRight w:val="0"/>
      <w:marTop w:val="0"/>
      <w:marBottom w:val="0"/>
      <w:divBdr>
        <w:top w:val="none" w:sz="0" w:space="0" w:color="auto"/>
        <w:left w:val="none" w:sz="0" w:space="0" w:color="auto"/>
        <w:bottom w:val="none" w:sz="0" w:space="0" w:color="auto"/>
        <w:right w:val="none" w:sz="0" w:space="0" w:color="auto"/>
      </w:divBdr>
    </w:div>
    <w:div w:id="1345980680">
      <w:bodyDiv w:val="1"/>
      <w:marLeft w:val="0"/>
      <w:marRight w:val="0"/>
      <w:marTop w:val="0"/>
      <w:marBottom w:val="0"/>
      <w:divBdr>
        <w:top w:val="none" w:sz="0" w:space="0" w:color="auto"/>
        <w:left w:val="none" w:sz="0" w:space="0" w:color="auto"/>
        <w:bottom w:val="none" w:sz="0" w:space="0" w:color="auto"/>
        <w:right w:val="none" w:sz="0" w:space="0" w:color="auto"/>
      </w:divBdr>
    </w:div>
    <w:div w:id="1472014937">
      <w:bodyDiv w:val="1"/>
      <w:marLeft w:val="0"/>
      <w:marRight w:val="0"/>
      <w:marTop w:val="0"/>
      <w:marBottom w:val="0"/>
      <w:divBdr>
        <w:top w:val="none" w:sz="0" w:space="0" w:color="auto"/>
        <w:left w:val="none" w:sz="0" w:space="0" w:color="auto"/>
        <w:bottom w:val="none" w:sz="0" w:space="0" w:color="auto"/>
        <w:right w:val="none" w:sz="0" w:space="0" w:color="auto"/>
      </w:divBdr>
    </w:div>
    <w:div w:id="1595476129">
      <w:bodyDiv w:val="1"/>
      <w:marLeft w:val="0"/>
      <w:marRight w:val="0"/>
      <w:marTop w:val="0"/>
      <w:marBottom w:val="0"/>
      <w:divBdr>
        <w:top w:val="none" w:sz="0" w:space="0" w:color="auto"/>
        <w:left w:val="none" w:sz="0" w:space="0" w:color="auto"/>
        <w:bottom w:val="none" w:sz="0" w:space="0" w:color="auto"/>
        <w:right w:val="none" w:sz="0" w:space="0" w:color="auto"/>
      </w:divBdr>
    </w:div>
    <w:div w:id="1599563880">
      <w:bodyDiv w:val="1"/>
      <w:marLeft w:val="0"/>
      <w:marRight w:val="0"/>
      <w:marTop w:val="0"/>
      <w:marBottom w:val="0"/>
      <w:divBdr>
        <w:top w:val="none" w:sz="0" w:space="0" w:color="auto"/>
        <w:left w:val="none" w:sz="0" w:space="0" w:color="auto"/>
        <w:bottom w:val="none" w:sz="0" w:space="0" w:color="auto"/>
        <w:right w:val="none" w:sz="0" w:space="0" w:color="auto"/>
      </w:divBdr>
    </w:div>
    <w:div w:id="1678921505">
      <w:bodyDiv w:val="1"/>
      <w:marLeft w:val="0"/>
      <w:marRight w:val="0"/>
      <w:marTop w:val="0"/>
      <w:marBottom w:val="0"/>
      <w:divBdr>
        <w:top w:val="none" w:sz="0" w:space="0" w:color="auto"/>
        <w:left w:val="none" w:sz="0" w:space="0" w:color="auto"/>
        <w:bottom w:val="none" w:sz="0" w:space="0" w:color="auto"/>
        <w:right w:val="none" w:sz="0" w:space="0" w:color="auto"/>
      </w:divBdr>
    </w:div>
    <w:div w:id="1765226212">
      <w:bodyDiv w:val="1"/>
      <w:marLeft w:val="0"/>
      <w:marRight w:val="0"/>
      <w:marTop w:val="0"/>
      <w:marBottom w:val="0"/>
      <w:divBdr>
        <w:top w:val="none" w:sz="0" w:space="0" w:color="auto"/>
        <w:left w:val="none" w:sz="0" w:space="0" w:color="auto"/>
        <w:bottom w:val="none" w:sz="0" w:space="0" w:color="auto"/>
        <w:right w:val="none" w:sz="0" w:space="0" w:color="auto"/>
      </w:divBdr>
    </w:div>
    <w:div w:id="1800492951">
      <w:bodyDiv w:val="1"/>
      <w:marLeft w:val="0"/>
      <w:marRight w:val="0"/>
      <w:marTop w:val="0"/>
      <w:marBottom w:val="0"/>
      <w:divBdr>
        <w:top w:val="none" w:sz="0" w:space="0" w:color="auto"/>
        <w:left w:val="none" w:sz="0" w:space="0" w:color="auto"/>
        <w:bottom w:val="none" w:sz="0" w:space="0" w:color="auto"/>
        <w:right w:val="none" w:sz="0" w:space="0" w:color="auto"/>
      </w:divBdr>
    </w:div>
    <w:div w:id="2032757643">
      <w:bodyDiv w:val="1"/>
      <w:marLeft w:val="0"/>
      <w:marRight w:val="0"/>
      <w:marTop w:val="0"/>
      <w:marBottom w:val="0"/>
      <w:divBdr>
        <w:top w:val="none" w:sz="0" w:space="0" w:color="auto"/>
        <w:left w:val="none" w:sz="0" w:space="0" w:color="auto"/>
        <w:bottom w:val="none" w:sz="0" w:space="0" w:color="auto"/>
        <w:right w:val="none" w:sz="0" w:space="0" w:color="auto"/>
      </w:divBdr>
    </w:div>
    <w:div w:id="213301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a.Tobun@harrow.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Andrew Seaman5</cp:lastModifiedBy>
  <cp:revision>3</cp:revision>
  <cp:lastPrinted>2007-07-12T09:53:00Z</cp:lastPrinted>
  <dcterms:created xsi:type="dcterms:W3CDTF">2023-10-20T11:03:00Z</dcterms:created>
  <dcterms:modified xsi:type="dcterms:W3CDTF">2023-10-20T11:09:00Z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